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0445063"/>
        <w:docPartObj>
          <w:docPartGallery w:val="Cover Pages"/>
          <w:docPartUnique/>
        </w:docPartObj>
      </w:sdtPr>
      <w:sdtEndPr>
        <w:rPr>
          <w:rFonts w:cstheme="minorHAnsi"/>
          <w:b/>
        </w:rPr>
      </w:sdtEndPr>
      <w:sdtContent>
        <w:p w:rsidR="00B93E04" w:rsidRDefault="00B93E04"/>
        <w:p w:rsidR="00075967" w:rsidRDefault="00075967"/>
        <w:tbl>
          <w:tblPr>
            <w:tblStyle w:val="Listemoyenne1"/>
            <w:tblpPr w:leftFromText="187" w:rightFromText="187" w:vertAnchor="page" w:horzAnchor="margin" w:tblpXSpec="right" w:tblpY="2311"/>
            <w:tblW w:w="2936" w:type="pct"/>
            <w:tblLook w:val="04A0"/>
          </w:tblPr>
          <w:tblGrid>
            <w:gridCol w:w="5454"/>
          </w:tblGrid>
          <w:tr w:rsidR="00B93E04" w:rsidRPr="00CB0F6D" w:rsidTr="00CB0F6D">
            <w:trPr>
              <w:cnfStyle w:val="100000000000"/>
              <w:trHeight w:val="1843"/>
            </w:trPr>
            <w:sdt>
              <w:sdtPr>
                <w:rPr>
                  <w:rFonts w:asciiTheme="minorHAnsi" w:hAnsiTheme="minorHAnsi" w:cs="Times New Roman"/>
                  <w:sz w:val="36"/>
                  <w:szCs w:val="36"/>
                </w:rPr>
                <w:alias w:val="Titre"/>
                <w:id w:val="13553149"/>
                <w:dataBinding w:prefixMappings="xmlns:ns0='http://schemas.openxmlformats.org/package/2006/metadata/core-properties' xmlns:ns1='http://purl.org/dc/elements/1.1/'" w:xpath="/ns0:coreProperties[1]/ns1:title[1]" w:storeItemID="{6C3C8BC8-F283-45AE-878A-BAB7291924A1}"/>
                <w:text/>
              </w:sdtPr>
              <w:sdtContent>
                <w:tc>
                  <w:tcPr>
                    <w:cnfStyle w:val="001000000000"/>
                    <w:tcW w:w="5000" w:type="pct"/>
                    <w:shd w:val="clear" w:color="auto" w:fill="auto"/>
                    <w:vAlign w:val="bottom"/>
                  </w:tcPr>
                  <w:p w:rsidR="00B93E04" w:rsidRPr="00CB0F6D" w:rsidRDefault="001C1BCE" w:rsidP="00CB0F6D">
                    <w:pPr>
                      <w:pStyle w:val="Sansinterligne"/>
                      <w:jc w:val="both"/>
                      <w:rPr>
                        <w:rFonts w:asciiTheme="minorHAnsi" w:hAnsiTheme="minorHAnsi" w:cstheme="majorBidi"/>
                        <w:color w:val="auto"/>
                        <w:sz w:val="72"/>
                        <w:szCs w:val="72"/>
                      </w:rPr>
                    </w:pPr>
                    <w:r w:rsidRPr="00CB0F6D">
                      <w:rPr>
                        <w:rFonts w:asciiTheme="minorHAnsi" w:hAnsiTheme="minorHAnsi" w:cs="Times New Roman"/>
                        <w:color w:val="auto"/>
                        <w:sz w:val="36"/>
                        <w:szCs w:val="36"/>
                      </w:rPr>
                      <w:t xml:space="preserve">La </w:t>
                    </w:r>
                    <w:r w:rsidR="008A662E" w:rsidRPr="00CB0F6D">
                      <w:rPr>
                        <w:rFonts w:asciiTheme="minorHAnsi" w:hAnsiTheme="minorHAnsi" w:cs="Times New Roman"/>
                        <w:color w:val="auto"/>
                        <w:sz w:val="36"/>
                        <w:szCs w:val="36"/>
                      </w:rPr>
                      <w:t>« Scolarisation des enfants de migrants d’origine subsaharienne en France »</w:t>
                    </w:r>
                  </w:p>
                </w:tc>
              </w:sdtContent>
            </w:sdt>
          </w:tr>
          <w:tr w:rsidR="00B93E04" w:rsidRPr="005B4D43" w:rsidTr="00CB0F6D">
            <w:trPr>
              <w:cnfStyle w:val="000000100000"/>
              <w:trHeight w:val="1114"/>
            </w:trPr>
            <w:sdt>
              <w:sdtPr>
                <w:rPr>
                  <w:rFonts w:asciiTheme="minorHAnsi" w:hAnsiTheme="minorHAnsi" w:cs="Times New Roman"/>
                  <w:sz w:val="28"/>
                  <w:szCs w:val="28"/>
                </w:rPr>
                <w:alias w:val="Sous-titre"/>
                <w:id w:val="13553153"/>
                <w:dataBinding w:prefixMappings="xmlns:ns0='http://schemas.openxmlformats.org/package/2006/metadata/core-properties' xmlns:ns1='http://purl.org/dc/elements/1.1/'" w:xpath="/ns0:coreProperties[1]/ns1:subject[1]" w:storeItemID="{6C3C8BC8-F283-45AE-878A-BAB7291924A1}"/>
                <w:text/>
              </w:sdtPr>
              <w:sdtContent>
                <w:tc>
                  <w:tcPr>
                    <w:cnfStyle w:val="001000000000"/>
                    <w:tcW w:w="5000" w:type="pct"/>
                    <w:shd w:val="clear" w:color="auto" w:fill="auto"/>
                    <w:vAlign w:val="bottom"/>
                  </w:tcPr>
                  <w:p w:rsidR="00B93E04" w:rsidRPr="005B4D43" w:rsidRDefault="001B4050" w:rsidP="00CB0F6D">
                    <w:pPr>
                      <w:pStyle w:val="Sansinterligne"/>
                      <w:rPr>
                        <w:rFonts w:asciiTheme="minorHAnsi" w:hAnsiTheme="minorHAnsi" w:cs="Times New Roman"/>
                        <w:b w:val="0"/>
                        <w:color w:val="auto"/>
                        <w:sz w:val="28"/>
                        <w:szCs w:val="28"/>
                      </w:rPr>
                    </w:pPr>
                    <w:r w:rsidRPr="005B4D43">
                      <w:rPr>
                        <w:rFonts w:asciiTheme="minorHAnsi" w:hAnsiTheme="minorHAnsi" w:cs="Times New Roman"/>
                        <w:color w:val="auto"/>
                        <w:sz w:val="28"/>
                        <w:szCs w:val="28"/>
                      </w:rPr>
                      <w:t xml:space="preserve">Recherche-action </w:t>
                    </w:r>
                    <w:r w:rsidR="001C1BCE" w:rsidRPr="005B4D43">
                      <w:rPr>
                        <w:rFonts w:asciiTheme="minorHAnsi" w:hAnsiTheme="minorHAnsi" w:cs="Times New Roman"/>
                        <w:color w:val="auto"/>
                        <w:sz w:val="28"/>
                        <w:szCs w:val="28"/>
                      </w:rPr>
                      <w:t>r</w:t>
                    </w:r>
                    <w:r w:rsidR="008A662E" w:rsidRPr="005B4D43">
                      <w:rPr>
                        <w:rFonts w:asciiTheme="minorHAnsi" w:hAnsiTheme="minorHAnsi" w:cs="Times New Roman"/>
                        <w:color w:val="auto"/>
                        <w:sz w:val="28"/>
                        <w:szCs w:val="28"/>
                      </w:rPr>
                      <w:t>éalisée par le GRDR – Migration, Citoyenneté, Développement</w:t>
                    </w:r>
                  </w:p>
                </w:tc>
              </w:sdtContent>
            </w:sdt>
          </w:tr>
          <w:tr w:rsidR="00B93E04" w:rsidRPr="005B4D43" w:rsidTr="00CB0F6D">
            <w:trPr>
              <w:trHeight w:val="969"/>
            </w:trPr>
            <w:sdt>
              <w:sdtPr>
                <w:rPr>
                  <w:rFonts w:asciiTheme="minorHAnsi" w:hAnsiTheme="minorHAnsi" w:cs="Times New Roman"/>
                  <w:sz w:val="24"/>
                  <w:szCs w:val="24"/>
                </w:rPr>
                <w:alias w:val="Auteur"/>
                <w:id w:val="13553158"/>
                <w:dataBinding w:prefixMappings="xmlns:ns0='http://schemas.openxmlformats.org/package/2006/metadata/core-properties' xmlns:ns1='http://purl.org/dc/elements/1.1/'" w:xpath="/ns0:coreProperties[1]/ns1:creator[1]" w:storeItemID="{6C3C8BC8-F283-45AE-878A-BAB7291924A1}"/>
                <w:text/>
              </w:sdtPr>
              <w:sdtContent>
                <w:tc>
                  <w:tcPr>
                    <w:cnfStyle w:val="001000000000"/>
                    <w:tcW w:w="5000" w:type="pct"/>
                    <w:shd w:val="clear" w:color="auto" w:fill="auto"/>
                    <w:vAlign w:val="bottom"/>
                  </w:tcPr>
                  <w:p w:rsidR="00B93E04" w:rsidRPr="005B4D43" w:rsidRDefault="008A662E" w:rsidP="00CB0F6D">
                    <w:pPr>
                      <w:pStyle w:val="Sansinterligne"/>
                      <w:rPr>
                        <w:rFonts w:asciiTheme="minorHAnsi" w:hAnsiTheme="minorHAnsi" w:cs="Times New Roman"/>
                        <w:b w:val="0"/>
                        <w:color w:val="auto"/>
                        <w:sz w:val="24"/>
                        <w:szCs w:val="24"/>
                      </w:rPr>
                    </w:pPr>
                    <w:r w:rsidRPr="005B4D43">
                      <w:rPr>
                        <w:rFonts w:asciiTheme="minorHAnsi" w:hAnsiTheme="minorHAnsi" w:cs="Times New Roman"/>
                        <w:color w:val="auto"/>
                        <w:sz w:val="24"/>
                        <w:szCs w:val="24"/>
                      </w:rPr>
                      <w:t>2011/2012</w:t>
                    </w:r>
                  </w:p>
                </w:tc>
              </w:sdtContent>
            </w:sdt>
          </w:tr>
        </w:tbl>
        <w:p w:rsidR="00B93E04" w:rsidRDefault="00B93E04"/>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1C1BCE" w:rsidRDefault="001C1BCE">
          <w:pPr>
            <w:rPr>
              <w:rFonts w:cstheme="minorHAnsi"/>
              <w:b/>
            </w:rPr>
          </w:pPr>
        </w:p>
        <w:p w:rsidR="00CB0F6D" w:rsidRDefault="00CB0F6D">
          <w:pPr>
            <w:rPr>
              <w:rFonts w:cstheme="minorHAnsi"/>
              <w:b/>
            </w:rPr>
          </w:pPr>
        </w:p>
        <w:p w:rsidR="00CB0F6D" w:rsidRDefault="00CB0F6D">
          <w:pPr>
            <w:rPr>
              <w:rFonts w:cstheme="minorHAnsi"/>
              <w:b/>
            </w:rPr>
          </w:pPr>
        </w:p>
        <w:p w:rsidR="00CB0F6D" w:rsidRDefault="00CB0F6D">
          <w:pPr>
            <w:rPr>
              <w:rFonts w:cstheme="minorHAnsi"/>
              <w:b/>
            </w:rPr>
          </w:pPr>
        </w:p>
        <w:p w:rsidR="00CB0F6D" w:rsidRDefault="00CB0F6D">
          <w:pPr>
            <w:rPr>
              <w:rFonts w:cstheme="minorHAnsi"/>
              <w:b/>
            </w:rPr>
          </w:pPr>
        </w:p>
        <w:p w:rsidR="00CB0F6D" w:rsidRDefault="00CB0F6D">
          <w:pPr>
            <w:rPr>
              <w:rFonts w:cstheme="minorHAnsi"/>
              <w:b/>
            </w:rPr>
          </w:pPr>
        </w:p>
        <w:p w:rsidR="008A662E" w:rsidRDefault="00225D27">
          <w:pPr>
            <w:rPr>
              <w:rFonts w:cstheme="minorHAnsi"/>
              <w:b/>
            </w:rPr>
          </w:pPr>
          <w:r>
            <w:rPr>
              <w:rFonts w:cstheme="minorHAnsi"/>
              <w:b/>
              <w:noProof/>
              <w:lang w:eastAsia="fr-FR"/>
            </w:rPr>
            <w:pict>
              <v:shapetype id="_x0000_t202" coordsize="21600,21600" o:spt="202" path="m,l,21600r21600,l21600,xe">
                <v:stroke joinstyle="miter"/>
                <v:path gradientshapeok="t" o:connecttype="rect"/>
              </v:shapetype>
              <v:shape id="_x0000_s1028" type="#_x0000_t202" style="position:absolute;margin-left:79.75pt;margin-top:7.25pt;width:276.75pt;height:53.3pt;z-index:251660288" stroked="f">
                <v:textbox>
                  <w:txbxContent>
                    <w:p w:rsidR="00440FE1" w:rsidRPr="00CB0F6D" w:rsidRDefault="00440FE1" w:rsidP="00440FE1">
                      <w:pPr>
                        <w:jc w:val="center"/>
                        <w:rPr>
                          <w:rFonts w:cstheme="minorHAnsi"/>
                          <w:b/>
                          <w:sz w:val="44"/>
                          <w:szCs w:val="44"/>
                        </w:rPr>
                      </w:pPr>
                      <w:r w:rsidRPr="00CB0F6D">
                        <w:rPr>
                          <w:rFonts w:cstheme="minorHAnsi"/>
                          <w:b/>
                          <w:sz w:val="44"/>
                          <w:szCs w:val="44"/>
                        </w:rPr>
                        <w:t>Note de synthèse</w:t>
                      </w:r>
                    </w:p>
                    <w:p w:rsidR="00440FE1" w:rsidRDefault="00440FE1"/>
                  </w:txbxContent>
                </v:textbox>
              </v:shape>
            </w:pict>
          </w:r>
        </w:p>
        <w:p w:rsidR="008A662E" w:rsidRDefault="008A662E">
          <w:pPr>
            <w:rPr>
              <w:rFonts w:cstheme="minorHAnsi"/>
              <w:b/>
            </w:rPr>
          </w:pPr>
        </w:p>
        <w:p w:rsidR="00075967" w:rsidRDefault="00075967">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8A662E" w:rsidRDefault="008A662E">
          <w:pPr>
            <w:rPr>
              <w:rFonts w:cstheme="minorHAnsi"/>
              <w:b/>
            </w:rPr>
          </w:pPr>
        </w:p>
        <w:p w:rsidR="00956FCC" w:rsidRDefault="00225D27" w:rsidP="00332D66">
          <w:pPr>
            <w:rPr>
              <w:rFonts w:cstheme="minorHAnsi"/>
              <w:b/>
            </w:rPr>
          </w:pPr>
          <w:r>
            <w:rPr>
              <w:rFonts w:cstheme="minorHAnsi"/>
              <w:b/>
              <w:noProof/>
              <w:lang w:eastAsia="fr-FR"/>
            </w:rPr>
            <w:pict>
              <v:shape id="_x0000_s1026" type="#_x0000_t202" style="position:absolute;margin-left:-.95pt;margin-top:26.7pt;width:109.35pt;height:122.25pt;z-index:251658240" stroked="f">
                <v:textbox style="mso-next-textbox:#_x0000_s1026">
                  <w:txbxContent>
                    <w:p w:rsidR="00E93860" w:rsidRDefault="00332D66">
                      <w:r>
                        <w:rPr>
                          <w:noProof/>
                          <w:lang w:eastAsia="fr-FR"/>
                        </w:rPr>
                        <w:drawing>
                          <wp:inline distT="0" distB="0" distL="0" distR="0">
                            <wp:extent cx="1076025" cy="1380356"/>
                            <wp:effectExtent l="19050" t="0" r="0" b="0"/>
                            <wp:docPr id="2" name="Image 2" descr="C:\Documents and Settings\rricardou.GRDR\Mes documents\Docs pamam\DAIC\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ricardou.GRDR\Mes documents\Docs pamam\DAIC\images.jpg"/>
                                    <pic:cNvPicPr>
                                      <a:picLocks noChangeAspect="1" noChangeArrowheads="1"/>
                                    </pic:cNvPicPr>
                                  </pic:nvPicPr>
                                  <pic:blipFill>
                                    <a:blip r:embed="rId8"/>
                                    <a:srcRect/>
                                    <a:stretch>
                                      <a:fillRect/>
                                    </a:stretch>
                                  </pic:blipFill>
                                  <pic:spPr bwMode="auto">
                                    <a:xfrm>
                                      <a:off x="0" y="0"/>
                                      <a:ext cx="1077460" cy="1382197"/>
                                    </a:xfrm>
                                    <a:prstGeom prst="rect">
                                      <a:avLst/>
                                    </a:prstGeom>
                                    <a:noFill/>
                                    <a:ln w="9525">
                                      <a:noFill/>
                                      <a:miter lim="800000"/>
                                      <a:headEnd/>
                                      <a:tailEnd/>
                                    </a:ln>
                                  </pic:spPr>
                                </pic:pic>
                              </a:graphicData>
                            </a:graphic>
                          </wp:inline>
                        </w:drawing>
                      </w:r>
                    </w:p>
                  </w:txbxContent>
                </v:textbox>
              </v:shape>
            </w:pict>
          </w:r>
          <w:r>
            <w:rPr>
              <w:rFonts w:cstheme="minorHAnsi"/>
              <w:b/>
              <w:noProof/>
              <w:lang w:eastAsia="fr-FR"/>
            </w:rPr>
            <w:pict>
              <v:shape id="_x0000_s1027" type="#_x0000_t202" style="position:absolute;margin-left:277.3pt;margin-top:51.45pt;width:204.75pt;height:84.2pt;z-index:251659264" stroked="f">
                <v:textbox style="mso-next-textbox:#_x0000_s1027">
                  <w:txbxContent>
                    <w:p w:rsidR="00E93860" w:rsidRDefault="00332D66">
                      <w:r>
                        <w:rPr>
                          <w:noProof/>
                          <w:lang w:eastAsia="fr-FR"/>
                        </w:rPr>
                        <w:drawing>
                          <wp:inline distT="0" distB="0" distL="0" distR="0">
                            <wp:extent cx="2171700" cy="880288"/>
                            <wp:effectExtent l="19050" t="0" r="0" b="0"/>
                            <wp:docPr id="3" name="Image 3" descr="C:\Documents and Settings\rricardou.GRDR\Mes documents\Docs pamam\Présentation &amp; Organisation Interne GRDR\GRDR_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ricardou.GRDR\Mes documents\Docs pamam\Présentation &amp; Organisation Interne GRDR\GRDR_logo_3.jpg"/>
                                    <pic:cNvPicPr>
                                      <a:picLocks noChangeAspect="1" noChangeArrowheads="1"/>
                                    </pic:cNvPicPr>
                                  </pic:nvPicPr>
                                  <pic:blipFill>
                                    <a:blip r:embed="rId9"/>
                                    <a:srcRect/>
                                    <a:stretch>
                                      <a:fillRect/>
                                    </a:stretch>
                                  </pic:blipFill>
                                  <pic:spPr bwMode="auto">
                                    <a:xfrm>
                                      <a:off x="0" y="0"/>
                                      <a:ext cx="2172466" cy="880598"/>
                                    </a:xfrm>
                                    <a:prstGeom prst="rect">
                                      <a:avLst/>
                                    </a:prstGeom>
                                    <a:noFill/>
                                    <a:ln w="9525">
                                      <a:noFill/>
                                      <a:miter lim="800000"/>
                                      <a:headEnd/>
                                      <a:tailEnd/>
                                    </a:ln>
                                  </pic:spPr>
                                </pic:pic>
                              </a:graphicData>
                            </a:graphic>
                          </wp:inline>
                        </w:drawing>
                      </w:r>
                    </w:p>
                  </w:txbxContent>
                </v:textbox>
              </v:shape>
            </w:pict>
          </w:r>
          <w:r w:rsidR="00B93E04">
            <w:rPr>
              <w:rFonts w:cstheme="minorHAnsi"/>
              <w:b/>
            </w:rPr>
            <w:br w:type="page"/>
          </w:r>
        </w:p>
      </w:sdtContent>
    </w:sdt>
    <w:p w:rsidR="00075967" w:rsidRPr="00075967" w:rsidRDefault="00075967" w:rsidP="00075967">
      <w:pPr>
        <w:keepNext/>
        <w:framePr w:dropCap="drop" w:lines="3" w:wrap="around" w:vAnchor="text" w:hAnchor="text"/>
        <w:spacing w:after="0" w:line="805" w:lineRule="exact"/>
        <w:jc w:val="both"/>
        <w:textAlignment w:val="baseline"/>
        <w:rPr>
          <w:rFonts w:cstheme="minorHAnsi"/>
          <w:position w:val="-10"/>
          <w:sz w:val="110"/>
        </w:rPr>
      </w:pPr>
      <w:r w:rsidRPr="00075967">
        <w:rPr>
          <w:rFonts w:cstheme="minorHAnsi"/>
          <w:position w:val="-10"/>
          <w:sz w:val="110"/>
        </w:rPr>
        <w:lastRenderedPageBreak/>
        <w:t>L</w:t>
      </w:r>
    </w:p>
    <w:p w:rsidR="00444ABE" w:rsidRPr="006A7C23" w:rsidRDefault="00823E42" w:rsidP="008154CF">
      <w:pPr>
        <w:autoSpaceDE w:val="0"/>
        <w:autoSpaceDN w:val="0"/>
        <w:adjustRightInd w:val="0"/>
        <w:spacing w:after="0" w:line="240" w:lineRule="auto"/>
        <w:jc w:val="both"/>
        <w:rPr>
          <w:rFonts w:eastAsia="Calibri" w:cs="Times New Roman"/>
        </w:rPr>
      </w:pPr>
      <w:r>
        <w:rPr>
          <w:rFonts w:cstheme="minorHAnsi"/>
        </w:rPr>
        <w:t>es enjeux des</w:t>
      </w:r>
      <w:r w:rsidR="007B6A98" w:rsidRPr="006A7C23">
        <w:rPr>
          <w:rFonts w:cstheme="minorHAnsi"/>
        </w:rPr>
        <w:t xml:space="preserve"> questions éducatives font régulièrement irruption dans le débat public, le plus souvent sur le registre de la lutte contre «l’échec scolaire </w:t>
      </w:r>
      <w:r w:rsidR="00D62B4B" w:rsidRPr="006A7C23">
        <w:rPr>
          <w:rFonts w:cstheme="minorHAnsi"/>
        </w:rPr>
        <w:t xml:space="preserve">». </w:t>
      </w:r>
      <w:r w:rsidR="009D2524">
        <w:rPr>
          <w:rFonts w:cstheme="minorHAnsi"/>
        </w:rPr>
        <w:t>L‘échec d</w:t>
      </w:r>
      <w:r w:rsidR="008154CF">
        <w:rPr>
          <w:rFonts w:cstheme="minorHAnsi"/>
        </w:rPr>
        <w:t xml:space="preserve">e </w:t>
      </w:r>
      <w:r w:rsidR="009D2524">
        <w:rPr>
          <w:rFonts w:cstheme="minorHAnsi"/>
        </w:rPr>
        <w:t>certains élèves</w:t>
      </w:r>
      <w:r w:rsidR="008154CF">
        <w:rPr>
          <w:rFonts w:cstheme="minorHAnsi"/>
        </w:rPr>
        <w:t xml:space="preserve"> </w:t>
      </w:r>
      <w:r w:rsidR="008154CF" w:rsidRPr="006A7C23">
        <w:rPr>
          <w:rFonts w:cstheme="minorHAnsi"/>
        </w:rPr>
        <w:t>met</w:t>
      </w:r>
      <w:r w:rsidR="008154CF">
        <w:rPr>
          <w:rFonts w:cstheme="minorHAnsi"/>
        </w:rPr>
        <w:t xml:space="preserve"> </w:t>
      </w:r>
      <w:r w:rsidR="008154CF" w:rsidRPr="006A7C23">
        <w:rPr>
          <w:rFonts w:cstheme="minorHAnsi"/>
        </w:rPr>
        <w:t xml:space="preserve">en question l’école elle-même dans sa capacité </w:t>
      </w:r>
      <w:r>
        <w:rPr>
          <w:rFonts w:cstheme="minorHAnsi"/>
        </w:rPr>
        <w:t>à</w:t>
      </w:r>
      <w:r w:rsidR="008154CF" w:rsidRPr="006A7C23">
        <w:rPr>
          <w:rFonts w:cstheme="minorHAnsi"/>
        </w:rPr>
        <w:t xml:space="preserve"> donner des chances égales à tous les élèves</w:t>
      </w:r>
      <w:r w:rsidR="00E34CF3" w:rsidRPr="006A7C23">
        <w:rPr>
          <w:rFonts w:eastAsia="Calibri" w:cs="Times New Roman"/>
        </w:rPr>
        <w:t>.</w:t>
      </w:r>
    </w:p>
    <w:p w:rsidR="00521C6D" w:rsidRDefault="00521C6D" w:rsidP="008930D3">
      <w:pPr>
        <w:spacing w:after="0" w:line="240" w:lineRule="auto"/>
        <w:jc w:val="both"/>
        <w:rPr>
          <w:rFonts w:eastAsia="Calibri" w:cs="Times New Roman"/>
        </w:rPr>
      </w:pPr>
    </w:p>
    <w:p w:rsidR="006C1D39" w:rsidRDefault="00BB3FC1" w:rsidP="00521C6D">
      <w:pPr>
        <w:spacing w:after="0" w:line="240" w:lineRule="auto"/>
        <w:jc w:val="both"/>
        <w:rPr>
          <w:rFonts w:cstheme="minorHAnsi"/>
          <w:b/>
          <w:bCs/>
          <w:iCs/>
        </w:rPr>
      </w:pPr>
      <w:r w:rsidRPr="007D7601">
        <w:rPr>
          <w:rFonts w:eastAsia="Calibri" w:cs="Times New Roman"/>
        </w:rPr>
        <w:t xml:space="preserve">Cette </w:t>
      </w:r>
      <w:r w:rsidR="006F7F8D" w:rsidRPr="007D7601">
        <w:rPr>
          <w:rFonts w:eastAsia="Calibri" w:cs="Times New Roman"/>
        </w:rPr>
        <w:t>recherche-action</w:t>
      </w:r>
      <w:r w:rsidR="00521C6D">
        <w:rPr>
          <w:rFonts w:eastAsia="Calibri" w:cs="Times New Roman"/>
        </w:rPr>
        <w:t xml:space="preserve"> </w:t>
      </w:r>
      <w:r w:rsidR="00823E42">
        <w:rPr>
          <w:rFonts w:eastAsia="Calibri" w:cs="Times New Roman"/>
        </w:rPr>
        <w:t xml:space="preserve"> ne vise </w:t>
      </w:r>
      <w:r w:rsidR="00E34CF3" w:rsidRPr="006A7C23">
        <w:rPr>
          <w:rFonts w:eastAsia="Calibri" w:cs="Times New Roman"/>
        </w:rPr>
        <w:t xml:space="preserve"> pas à identifier </w:t>
      </w:r>
      <w:r w:rsidR="00823E42">
        <w:rPr>
          <w:rFonts w:eastAsia="Calibri" w:cs="Times New Roman"/>
        </w:rPr>
        <w:t>les</w:t>
      </w:r>
      <w:r w:rsidR="00E34CF3" w:rsidRPr="00735665">
        <w:rPr>
          <w:rFonts w:eastAsia="Calibri" w:cs="Times New Roman"/>
        </w:rPr>
        <w:t xml:space="preserve"> </w:t>
      </w:r>
      <w:r w:rsidR="001E1D37" w:rsidRPr="00735665">
        <w:rPr>
          <w:rFonts w:eastAsia="Calibri" w:cs="Times New Roman"/>
        </w:rPr>
        <w:t>déterminants</w:t>
      </w:r>
      <w:r w:rsidR="001E1D37">
        <w:rPr>
          <w:rFonts w:eastAsia="Calibri" w:cs="Times New Roman"/>
        </w:rPr>
        <w:t xml:space="preserve"> </w:t>
      </w:r>
      <w:r w:rsidR="001E1D37" w:rsidRPr="00735665">
        <w:rPr>
          <w:rFonts w:eastAsia="Calibri" w:cs="Times New Roman"/>
        </w:rPr>
        <w:t>culturels</w:t>
      </w:r>
      <w:r w:rsidR="00972974">
        <w:rPr>
          <w:rFonts w:eastAsia="Calibri" w:cs="Times New Roman"/>
        </w:rPr>
        <w:t xml:space="preserve"> de l’échec scolaire. </w:t>
      </w:r>
      <w:r w:rsidR="00972974" w:rsidRPr="00B61938">
        <w:rPr>
          <w:rFonts w:eastAsia="Calibri" w:cs="Times New Roman"/>
        </w:rPr>
        <w:t>Elle vise</w:t>
      </w:r>
      <w:r w:rsidR="00E34CF3" w:rsidRPr="006A7C23">
        <w:rPr>
          <w:rFonts w:eastAsia="Calibri" w:cs="Times New Roman"/>
        </w:rPr>
        <w:t xml:space="preserve"> à saisir l’échec</w:t>
      </w:r>
      <w:r w:rsidR="00E0281B" w:rsidRPr="006A7C23">
        <w:rPr>
          <w:rFonts w:eastAsia="Calibri" w:cs="Times New Roman"/>
        </w:rPr>
        <w:t>,</w:t>
      </w:r>
      <w:r w:rsidR="00E34CF3" w:rsidRPr="006A7C23">
        <w:rPr>
          <w:rFonts w:eastAsia="Calibri" w:cs="Times New Roman"/>
        </w:rPr>
        <w:t xml:space="preserve"> ou d’ailleurs la réussite, dans un processus complexe où in</w:t>
      </w:r>
      <w:r w:rsidR="00E0281B" w:rsidRPr="006A7C23">
        <w:rPr>
          <w:rFonts w:eastAsia="Calibri" w:cs="Times New Roman"/>
        </w:rPr>
        <w:t xml:space="preserve">terviennent, certes, </w:t>
      </w:r>
      <w:r w:rsidR="00E0281B" w:rsidRPr="00735665">
        <w:rPr>
          <w:rFonts w:eastAsia="Calibri" w:cs="Times New Roman"/>
        </w:rPr>
        <w:t xml:space="preserve">des </w:t>
      </w:r>
      <w:r w:rsidR="0020783E" w:rsidRPr="00735665">
        <w:rPr>
          <w:rFonts w:eastAsia="Calibri" w:cs="Times New Roman"/>
        </w:rPr>
        <w:t xml:space="preserve">éléments </w:t>
      </w:r>
      <w:proofErr w:type="spellStart"/>
      <w:r w:rsidR="001E1D37" w:rsidRPr="00735665">
        <w:rPr>
          <w:rFonts w:eastAsia="Calibri" w:cs="Times New Roman"/>
        </w:rPr>
        <w:t>socio-</w:t>
      </w:r>
      <w:r w:rsidR="00E0281B" w:rsidRPr="00735665">
        <w:rPr>
          <w:rFonts w:eastAsia="Calibri" w:cs="Times New Roman"/>
        </w:rPr>
        <w:t>c</w:t>
      </w:r>
      <w:r w:rsidR="00E34CF3" w:rsidRPr="00735665">
        <w:rPr>
          <w:rFonts w:eastAsia="Calibri" w:cs="Times New Roman"/>
        </w:rPr>
        <w:t>ulture</w:t>
      </w:r>
      <w:r w:rsidR="00E0281B" w:rsidRPr="00735665">
        <w:rPr>
          <w:rFonts w:eastAsia="Calibri" w:cs="Times New Roman"/>
        </w:rPr>
        <w:t>ls</w:t>
      </w:r>
      <w:proofErr w:type="spellEnd"/>
      <w:r w:rsidR="00E0281B" w:rsidRPr="006A7C23">
        <w:rPr>
          <w:rFonts w:eastAsia="Calibri" w:cs="Times New Roman"/>
        </w:rPr>
        <w:t>, mais plus fondamentalement</w:t>
      </w:r>
      <w:r w:rsidR="001A7513" w:rsidRPr="006A7C23">
        <w:rPr>
          <w:rFonts w:eastAsia="Calibri" w:cs="Times New Roman"/>
        </w:rPr>
        <w:t xml:space="preserve">, sans doute, </w:t>
      </w:r>
      <w:r w:rsidR="0075308B" w:rsidRPr="006A7C23">
        <w:rPr>
          <w:rFonts w:eastAsia="Calibri" w:cs="Times New Roman"/>
        </w:rPr>
        <w:t>le projet migratoire des parents et les conditions matériel</w:t>
      </w:r>
      <w:r w:rsidR="00885919" w:rsidRPr="006A7C23">
        <w:rPr>
          <w:rFonts w:eastAsia="Calibri" w:cs="Times New Roman"/>
        </w:rPr>
        <w:t>le</w:t>
      </w:r>
      <w:r w:rsidR="0075308B" w:rsidRPr="006A7C23">
        <w:rPr>
          <w:rFonts w:eastAsia="Calibri" w:cs="Times New Roman"/>
        </w:rPr>
        <w:t xml:space="preserve">s de vie </w:t>
      </w:r>
      <w:r w:rsidR="00885919" w:rsidRPr="006A7C23">
        <w:rPr>
          <w:rFonts w:eastAsia="Calibri" w:cs="Times New Roman"/>
        </w:rPr>
        <w:t xml:space="preserve">en France </w:t>
      </w:r>
      <w:r w:rsidR="0075308B" w:rsidRPr="006A7C23">
        <w:rPr>
          <w:rFonts w:eastAsia="Calibri" w:cs="Times New Roman"/>
        </w:rPr>
        <w:t xml:space="preserve">des familles </w:t>
      </w:r>
      <w:r w:rsidR="00885919" w:rsidRPr="006A7C23">
        <w:rPr>
          <w:rFonts w:eastAsia="Calibri" w:cs="Times New Roman"/>
        </w:rPr>
        <w:t xml:space="preserve">concernées par l’étude </w:t>
      </w:r>
      <w:r w:rsidR="00B8697A" w:rsidRPr="006A7C23">
        <w:rPr>
          <w:rFonts w:cstheme="minorHAnsi"/>
        </w:rPr>
        <w:t>(emploi, conditions économiques, de logement, densité du réseau associatif, etc.)</w:t>
      </w:r>
      <w:r>
        <w:rPr>
          <w:rFonts w:eastAsia="Calibri" w:cs="Times New Roman"/>
        </w:rPr>
        <w:t xml:space="preserve">. </w:t>
      </w:r>
      <w:r w:rsidRPr="00F743C9">
        <w:rPr>
          <w:rFonts w:eastAsia="Calibri" w:cs="Times New Roman"/>
        </w:rPr>
        <w:t xml:space="preserve">Ces </w:t>
      </w:r>
      <w:r w:rsidR="00EF7738" w:rsidRPr="00F743C9">
        <w:rPr>
          <w:rFonts w:eastAsia="Calibri" w:cs="Times New Roman"/>
        </w:rPr>
        <w:t>paramètre</w:t>
      </w:r>
      <w:r w:rsidR="00EF7738" w:rsidRPr="00F743C9">
        <w:rPr>
          <w:rFonts w:eastAsia="Calibri" w:cs="Times New Roman"/>
          <w:b/>
        </w:rPr>
        <w:t>s</w:t>
      </w:r>
      <w:r w:rsidRPr="00F743C9">
        <w:rPr>
          <w:rFonts w:eastAsia="Calibri" w:cs="Times New Roman"/>
        </w:rPr>
        <w:t xml:space="preserve"> </w:t>
      </w:r>
      <w:r w:rsidR="00B8697A" w:rsidRPr="00F743C9">
        <w:rPr>
          <w:rFonts w:eastAsia="Calibri" w:cs="Times New Roman"/>
        </w:rPr>
        <w:t xml:space="preserve"> </w:t>
      </w:r>
      <w:r w:rsidR="001E1D37" w:rsidRPr="00F743C9">
        <w:rPr>
          <w:rFonts w:eastAsia="Calibri" w:cs="Times New Roman"/>
        </w:rPr>
        <w:t xml:space="preserve">influent sur </w:t>
      </w:r>
      <w:r w:rsidR="00B8697A" w:rsidRPr="00F743C9">
        <w:rPr>
          <w:rFonts w:eastAsia="Calibri" w:cs="Times New Roman"/>
        </w:rPr>
        <w:t>la manière d’envisager l’avenir dans laquelle l’école prend un sens.</w:t>
      </w:r>
      <w:r w:rsidR="00A01283" w:rsidRPr="00F743C9">
        <w:rPr>
          <w:rFonts w:eastAsia="Calibri" w:cs="Times New Roman"/>
        </w:rPr>
        <w:t xml:space="preserve"> </w:t>
      </w:r>
    </w:p>
    <w:p w:rsidR="00521C6D" w:rsidRDefault="00521C6D" w:rsidP="00102DD1">
      <w:pPr>
        <w:tabs>
          <w:tab w:val="left" w:pos="1565"/>
        </w:tabs>
        <w:spacing w:after="0" w:line="240" w:lineRule="auto"/>
        <w:jc w:val="both"/>
        <w:rPr>
          <w:rFonts w:cstheme="minorHAnsi"/>
          <w:b/>
          <w:bCs/>
          <w:iCs/>
          <w:sz w:val="28"/>
          <w:szCs w:val="28"/>
        </w:rPr>
      </w:pPr>
    </w:p>
    <w:p w:rsidR="00CD061C" w:rsidRPr="00D9570B" w:rsidRDefault="00735665" w:rsidP="00D9570B">
      <w:pPr>
        <w:pStyle w:val="Paragraphedeliste"/>
        <w:numPr>
          <w:ilvl w:val="0"/>
          <w:numId w:val="6"/>
        </w:numPr>
        <w:tabs>
          <w:tab w:val="left" w:pos="1565"/>
        </w:tabs>
        <w:spacing w:after="0" w:line="240" w:lineRule="auto"/>
        <w:jc w:val="both"/>
        <w:rPr>
          <w:rFonts w:cstheme="minorHAnsi"/>
          <w:b/>
          <w:bCs/>
          <w:iCs/>
          <w:sz w:val="28"/>
          <w:szCs w:val="28"/>
        </w:rPr>
      </w:pPr>
      <w:r w:rsidRPr="00D9570B">
        <w:rPr>
          <w:rFonts w:cstheme="minorHAnsi"/>
          <w:b/>
          <w:bCs/>
          <w:iCs/>
          <w:sz w:val="28"/>
          <w:szCs w:val="28"/>
        </w:rPr>
        <w:t>Démarche</w:t>
      </w:r>
      <w:r w:rsidR="00D01979" w:rsidRPr="00D9570B">
        <w:rPr>
          <w:rFonts w:cstheme="minorHAnsi"/>
          <w:b/>
          <w:bCs/>
          <w:iCs/>
          <w:sz w:val="28"/>
          <w:szCs w:val="28"/>
        </w:rPr>
        <w:t xml:space="preserve"> : une recherche action ancrée sur les territoires </w:t>
      </w:r>
    </w:p>
    <w:p w:rsidR="00521C6D" w:rsidRPr="00CD061C" w:rsidRDefault="00521C6D" w:rsidP="00102DD1">
      <w:pPr>
        <w:tabs>
          <w:tab w:val="left" w:pos="1565"/>
        </w:tabs>
        <w:spacing w:after="0" w:line="240" w:lineRule="auto"/>
        <w:jc w:val="both"/>
        <w:rPr>
          <w:rFonts w:cstheme="minorHAnsi"/>
          <w:b/>
          <w:bCs/>
          <w:iCs/>
          <w:sz w:val="28"/>
          <w:szCs w:val="28"/>
        </w:rPr>
      </w:pPr>
    </w:p>
    <w:p w:rsidR="00B61938" w:rsidRPr="00521C6D" w:rsidRDefault="00521C6D" w:rsidP="00106BE0">
      <w:pPr>
        <w:spacing w:after="0" w:line="240" w:lineRule="auto"/>
        <w:jc w:val="both"/>
        <w:rPr>
          <w:rFonts w:eastAsia="Calibri" w:cs="Times New Roman"/>
          <w:color w:val="FF0000"/>
        </w:rPr>
      </w:pPr>
      <w:r w:rsidRPr="007D7601">
        <w:rPr>
          <w:rFonts w:cstheme="minorHAnsi"/>
          <w:bCs/>
          <w:iCs/>
        </w:rPr>
        <w:t xml:space="preserve">Cette </w:t>
      </w:r>
      <w:r w:rsidR="007D7601" w:rsidRPr="007D7601">
        <w:rPr>
          <w:rFonts w:cstheme="minorHAnsi"/>
          <w:bCs/>
          <w:iCs/>
        </w:rPr>
        <w:t>démarche</w:t>
      </w:r>
      <w:r w:rsidRPr="007D7601">
        <w:rPr>
          <w:rFonts w:cstheme="minorHAnsi"/>
          <w:bCs/>
          <w:iCs/>
        </w:rPr>
        <w:t xml:space="preserve"> </w:t>
      </w:r>
      <w:r w:rsidRPr="00F743C9">
        <w:rPr>
          <w:rFonts w:eastAsia="Calibri" w:cs="Times New Roman"/>
        </w:rPr>
        <w:t>représente donc un déplacement significatif par rapport à l’explication causale dans une perspective culturaliste</w:t>
      </w:r>
      <w:r w:rsidRPr="00F743C9">
        <w:rPr>
          <w:rFonts w:cstheme="minorHAnsi"/>
        </w:rPr>
        <w:t>.</w:t>
      </w:r>
      <w:r w:rsidRPr="006A7C23">
        <w:rPr>
          <w:rFonts w:cstheme="minorHAnsi"/>
        </w:rPr>
        <w:t xml:space="preserve"> </w:t>
      </w:r>
      <w:r>
        <w:rPr>
          <w:rFonts w:cstheme="minorHAnsi"/>
        </w:rPr>
        <w:t>Elle</w:t>
      </w:r>
      <w:r w:rsidR="007F4FC7" w:rsidRPr="006A7C23">
        <w:rPr>
          <w:rFonts w:cstheme="minorHAnsi"/>
        </w:rPr>
        <w:t xml:space="preserve"> part du principe que la culture d’origine de la population enquêtée n’est en soi ni un facteur d'aide ni un facteur handicapant dans le devenir scolaire des enfants mais que le rapport à cette culture, en définissant un positionnement social de la famille, in</w:t>
      </w:r>
      <w:r w:rsidR="007D7601">
        <w:rPr>
          <w:rFonts w:cstheme="minorHAnsi"/>
        </w:rPr>
        <w:t>flue sur la scolarité</w:t>
      </w:r>
      <w:r w:rsidR="007F4FC7" w:rsidRPr="006A7C23">
        <w:rPr>
          <w:rFonts w:cstheme="minorHAnsi"/>
        </w:rPr>
        <w:t xml:space="preserve"> des enfants. C'est dire que le niveau culturel de la famille dans sa propre culture d'origine, en ce qu'il détermine le rapport subjectif à cette culture, intervient dans le positionnement social et ainsi dans le rapport des enfants à l'école et au savoir. Le projet migratoire des parents a lui aussi une influence déterminante sur le niveau d’aspiration de l’enfant et c’est au moins en partie en fonction de ce projet que l’é</w:t>
      </w:r>
      <w:r w:rsidR="00697A80">
        <w:rPr>
          <w:rFonts w:cstheme="minorHAnsi"/>
        </w:rPr>
        <w:t xml:space="preserve">lève se construit et élabore un </w:t>
      </w:r>
      <w:r w:rsidR="007F4FC7" w:rsidRPr="006A7C23">
        <w:rPr>
          <w:rFonts w:cstheme="minorHAnsi"/>
        </w:rPr>
        <w:t>projet pour l’avenir. La réussite et l’échec d’un enfan</w:t>
      </w:r>
      <w:r w:rsidR="00697A80">
        <w:rPr>
          <w:rFonts w:cstheme="minorHAnsi"/>
        </w:rPr>
        <w:t xml:space="preserve">t à l’école sont fonction </w:t>
      </w:r>
      <w:r w:rsidR="007F4FC7" w:rsidRPr="006A7C23">
        <w:rPr>
          <w:rFonts w:cstheme="minorHAnsi"/>
        </w:rPr>
        <w:t xml:space="preserve">du sens qu’il perçoit dans la situation où il se trouve. Il existe un lien entre ce sens capable de fournir une orientation à son parcours scolaire et le rapport au savoir qui conditionne ses relations avec l’institution scolaire. </w:t>
      </w:r>
    </w:p>
    <w:p w:rsidR="00956FCC" w:rsidRDefault="00956FCC" w:rsidP="00D648A3">
      <w:pPr>
        <w:spacing w:after="0" w:line="240" w:lineRule="auto"/>
        <w:jc w:val="both"/>
        <w:rPr>
          <w:rFonts w:cstheme="minorHAnsi"/>
        </w:rPr>
      </w:pPr>
    </w:p>
    <w:p w:rsidR="008A2736" w:rsidRPr="00DE5A47" w:rsidRDefault="007F4FC7" w:rsidP="00D648A3">
      <w:pPr>
        <w:spacing w:after="0" w:line="240" w:lineRule="auto"/>
        <w:jc w:val="both"/>
        <w:rPr>
          <w:rFonts w:cstheme="minorHAnsi"/>
          <w:bCs/>
          <w:iCs/>
        </w:rPr>
      </w:pPr>
      <w:r w:rsidRPr="006A7C23">
        <w:rPr>
          <w:rFonts w:cstheme="minorHAnsi"/>
        </w:rPr>
        <w:t xml:space="preserve">La </w:t>
      </w:r>
      <w:r w:rsidR="00CD061C" w:rsidRPr="006A7C23">
        <w:rPr>
          <w:rFonts w:cstheme="minorHAnsi"/>
        </w:rPr>
        <w:t>question</w:t>
      </w:r>
      <w:r w:rsidRPr="006A7C23">
        <w:rPr>
          <w:rFonts w:cstheme="minorHAnsi"/>
        </w:rPr>
        <w:t xml:space="preserve"> du sens est </w:t>
      </w:r>
      <w:r w:rsidR="00DE5A47">
        <w:rPr>
          <w:rFonts w:cstheme="minorHAnsi"/>
        </w:rPr>
        <w:t xml:space="preserve">donc </w:t>
      </w:r>
      <w:r w:rsidRPr="006A7C23">
        <w:rPr>
          <w:rFonts w:cstheme="minorHAnsi"/>
        </w:rPr>
        <w:t xml:space="preserve">au cœur de la problématique de la réussite et de l’échec scolaires ; elle renvoie à la façon dont l’élève comprend (ou ne comprend pas) la finalité de sa présence à l’école, </w:t>
      </w:r>
      <w:r w:rsidR="00DE5A47">
        <w:rPr>
          <w:rFonts w:cstheme="minorHAnsi"/>
        </w:rPr>
        <w:t xml:space="preserve">à </w:t>
      </w:r>
      <w:r w:rsidRPr="006A7C23">
        <w:rPr>
          <w:rFonts w:cstheme="minorHAnsi"/>
        </w:rPr>
        <w:t xml:space="preserve">ce que l’école représente pour lui, ce à quoi il pense qu’elle peut lui servir. </w:t>
      </w:r>
      <w:r w:rsidR="00972974" w:rsidRPr="00B61938">
        <w:rPr>
          <w:rFonts w:cstheme="minorHAnsi"/>
        </w:rPr>
        <w:t xml:space="preserve">Cette </w:t>
      </w:r>
      <w:r w:rsidR="00B61938">
        <w:rPr>
          <w:rFonts w:cstheme="minorHAnsi"/>
        </w:rPr>
        <w:t>étude</w:t>
      </w:r>
      <w:r w:rsidR="007C5587" w:rsidRPr="00B61938">
        <w:rPr>
          <w:rFonts w:cstheme="minorHAnsi"/>
        </w:rPr>
        <w:t xml:space="preserve"> s’inspire des travaux déjà anciens (CHARLOT </w:t>
      </w:r>
      <w:r w:rsidR="007C5587" w:rsidRPr="00B61938">
        <w:rPr>
          <w:rFonts w:cstheme="minorHAnsi"/>
          <w:bCs/>
          <w:iCs/>
        </w:rPr>
        <w:t xml:space="preserve">1990) sur l’importance du rapport au savoir pour définir échec et réussite scolaire, mais réajuste cette problématique au contexte actuel dans lequel l’école </w:t>
      </w:r>
      <w:r w:rsidR="00A1103E">
        <w:rPr>
          <w:rFonts w:cstheme="minorHAnsi"/>
          <w:bCs/>
          <w:iCs/>
        </w:rPr>
        <w:t xml:space="preserve">et le savoir sont </w:t>
      </w:r>
      <w:r w:rsidR="007C5587" w:rsidRPr="00B61938">
        <w:rPr>
          <w:rFonts w:cstheme="minorHAnsi"/>
          <w:bCs/>
          <w:iCs/>
        </w:rPr>
        <w:t xml:space="preserve">en perte de </w:t>
      </w:r>
      <w:r w:rsidR="00CD6EC8">
        <w:rPr>
          <w:rFonts w:cstheme="minorHAnsi"/>
          <w:bCs/>
          <w:iCs/>
        </w:rPr>
        <w:t xml:space="preserve">sens </w:t>
      </w:r>
      <w:r w:rsidR="00CD6EC8" w:rsidRPr="00DE5A47">
        <w:rPr>
          <w:rFonts w:cstheme="minorHAnsi"/>
          <w:bCs/>
          <w:iCs/>
        </w:rPr>
        <w:t>dans certains territoires</w:t>
      </w:r>
      <w:r w:rsidR="008A2736" w:rsidRPr="00DE5A47">
        <w:rPr>
          <w:rFonts w:cstheme="minorHAnsi"/>
          <w:bCs/>
          <w:iCs/>
        </w:rPr>
        <w:t>.</w:t>
      </w:r>
    </w:p>
    <w:p w:rsidR="00CD061C" w:rsidRPr="00B21EEB" w:rsidRDefault="007C5587" w:rsidP="00D648A3">
      <w:pPr>
        <w:spacing w:after="0" w:line="240" w:lineRule="auto"/>
        <w:jc w:val="both"/>
        <w:rPr>
          <w:rFonts w:cstheme="minorHAnsi"/>
          <w:bCs/>
          <w:iCs/>
          <w:color w:val="FF0000"/>
        </w:rPr>
      </w:pPr>
      <w:r w:rsidRPr="008A2736">
        <w:rPr>
          <w:rFonts w:cstheme="minorHAnsi"/>
          <w:bCs/>
          <w:iCs/>
          <w:color w:val="FF0000"/>
        </w:rPr>
        <w:t xml:space="preserve"> </w:t>
      </w:r>
    </w:p>
    <w:p w:rsidR="001E1D37" w:rsidRDefault="00A1103E" w:rsidP="00D648A3">
      <w:pPr>
        <w:spacing w:after="0" w:line="240" w:lineRule="auto"/>
        <w:jc w:val="both"/>
        <w:rPr>
          <w:rFonts w:cstheme="minorHAnsi"/>
        </w:rPr>
      </w:pPr>
      <w:r>
        <w:rPr>
          <w:rFonts w:cstheme="minorHAnsi"/>
        </w:rPr>
        <w:t>L’</w:t>
      </w:r>
      <w:r w:rsidR="001E1D37" w:rsidRPr="006A7C23">
        <w:rPr>
          <w:rFonts w:cstheme="minorHAnsi"/>
        </w:rPr>
        <w:t xml:space="preserve">insertion scolaire des enfants d’origine subsaharienne est au carrefour de plusieurs problématiques sociales et urbaines. Pour l’éclairer, le GRDR a choisi de l’aborder à partir de chacune des trois entrées qui en fixent le cadre : </w:t>
      </w:r>
    </w:p>
    <w:p w:rsidR="00956FCC" w:rsidRPr="00D648A3" w:rsidRDefault="00956FCC" w:rsidP="00D648A3">
      <w:pPr>
        <w:spacing w:after="0" w:line="240" w:lineRule="auto"/>
        <w:jc w:val="both"/>
        <w:rPr>
          <w:rFonts w:cstheme="minorHAnsi"/>
        </w:rPr>
      </w:pPr>
    </w:p>
    <w:p w:rsidR="00956FCC" w:rsidRDefault="001E1D37" w:rsidP="00E20211">
      <w:pPr>
        <w:autoSpaceDE w:val="0"/>
        <w:autoSpaceDN w:val="0"/>
        <w:adjustRightInd w:val="0"/>
        <w:spacing w:after="0" w:line="240" w:lineRule="auto"/>
        <w:ind w:left="284"/>
        <w:jc w:val="both"/>
        <w:rPr>
          <w:rFonts w:cstheme="minorHAnsi"/>
        </w:rPr>
      </w:pPr>
      <w:r>
        <w:rPr>
          <w:rFonts w:cstheme="minorHAnsi"/>
        </w:rPr>
        <w:t xml:space="preserve">- </w:t>
      </w:r>
      <w:r w:rsidRPr="006A7C23">
        <w:rPr>
          <w:rFonts w:cstheme="minorHAnsi"/>
        </w:rPr>
        <w:t>deux territoires (Aubervilliers et Les Mureaux</w:t>
      </w:r>
      <w:r>
        <w:rPr>
          <w:rFonts w:cstheme="minorHAnsi"/>
        </w:rPr>
        <w:t>)</w:t>
      </w:r>
      <w:r w:rsidRPr="006A7C23">
        <w:rPr>
          <w:rFonts w:cstheme="minorHAnsi"/>
        </w:rPr>
        <w:t xml:space="preserve"> qui présentent des dynamiques différentes </w:t>
      </w:r>
    </w:p>
    <w:p w:rsidR="001E1D37" w:rsidRDefault="001E1D37" w:rsidP="00E20211">
      <w:pPr>
        <w:autoSpaceDE w:val="0"/>
        <w:autoSpaceDN w:val="0"/>
        <w:adjustRightInd w:val="0"/>
        <w:spacing w:after="0" w:line="240" w:lineRule="auto"/>
        <w:ind w:left="284"/>
        <w:jc w:val="both"/>
        <w:rPr>
          <w:rFonts w:cstheme="minorHAnsi"/>
        </w:rPr>
      </w:pPr>
      <w:r>
        <w:rPr>
          <w:rFonts w:cstheme="minorHAnsi"/>
        </w:rPr>
        <w:t xml:space="preserve">- </w:t>
      </w:r>
      <w:r w:rsidRPr="006A7C23">
        <w:rPr>
          <w:rFonts w:cstheme="minorHAnsi"/>
        </w:rPr>
        <w:t xml:space="preserve">des acteurs locaux : élus, associations, institutions dont, au premier plan, l’institution scolaire. </w:t>
      </w:r>
    </w:p>
    <w:p w:rsidR="001E1D37" w:rsidRDefault="001E1D37" w:rsidP="00E20211">
      <w:pPr>
        <w:autoSpaceDE w:val="0"/>
        <w:autoSpaceDN w:val="0"/>
        <w:adjustRightInd w:val="0"/>
        <w:spacing w:after="0" w:line="240" w:lineRule="auto"/>
        <w:ind w:left="284"/>
        <w:jc w:val="both"/>
        <w:rPr>
          <w:rFonts w:cstheme="minorHAnsi"/>
        </w:rPr>
      </w:pPr>
      <w:r w:rsidRPr="006A7C23">
        <w:rPr>
          <w:rFonts w:cstheme="minorHAnsi"/>
        </w:rPr>
        <w:t>-</w:t>
      </w:r>
      <w:r>
        <w:rPr>
          <w:rFonts w:cstheme="minorHAnsi"/>
        </w:rPr>
        <w:t xml:space="preserve"> des f</w:t>
      </w:r>
      <w:r w:rsidRPr="006A7C23">
        <w:rPr>
          <w:rFonts w:cstheme="minorHAnsi"/>
        </w:rPr>
        <w:t>amilles et parcours d’enfants</w:t>
      </w:r>
    </w:p>
    <w:p w:rsidR="00E20211" w:rsidRPr="006A7C23" w:rsidRDefault="00E20211" w:rsidP="001E1D37">
      <w:pPr>
        <w:autoSpaceDE w:val="0"/>
        <w:autoSpaceDN w:val="0"/>
        <w:adjustRightInd w:val="0"/>
        <w:spacing w:after="0" w:line="240" w:lineRule="auto"/>
        <w:jc w:val="both"/>
        <w:rPr>
          <w:rFonts w:cstheme="minorHAnsi"/>
        </w:rPr>
      </w:pPr>
    </w:p>
    <w:p w:rsidR="001E1D37" w:rsidRDefault="001E1D37" w:rsidP="001E1D37">
      <w:pPr>
        <w:spacing w:line="240" w:lineRule="auto"/>
        <w:jc w:val="both"/>
        <w:rPr>
          <w:rFonts w:cstheme="minorHAnsi"/>
        </w:rPr>
      </w:pPr>
      <w:r w:rsidRPr="006C311D">
        <w:rPr>
          <w:rFonts w:cstheme="minorHAnsi"/>
        </w:rPr>
        <w:t xml:space="preserve">Le GRDR </w:t>
      </w:r>
      <w:r>
        <w:rPr>
          <w:rFonts w:cstheme="minorHAnsi"/>
        </w:rPr>
        <w:t xml:space="preserve">a </w:t>
      </w:r>
      <w:r w:rsidR="008A2736">
        <w:rPr>
          <w:rFonts w:cstheme="minorHAnsi"/>
        </w:rPr>
        <w:t>conduit cette</w:t>
      </w:r>
      <w:r w:rsidRPr="006C311D">
        <w:rPr>
          <w:rFonts w:cstheme="minorHAnsi"/>
        </w:rPr>
        <w:t xml:space="preserve"> recherche-action</w:t>
      </w:r>
      <w:r w:rsidRPr="00DC3345">
        <w:rPr>
          <w:rFonts w:cstheme="minorHAnsi"/>
        </w:rPr>
        <w:t xml:space="preserve"> </w:t>
      </w:r>
      <w:r>
        <w:rPr>
          <w:rFonts w:cstheme="minorHAnsi"/>
        </w:rPr>
        <w:t>en s’appuyant</w:t>
      </w:r>
      <w:r w:rsidRPr="006A7C23">
        <w:rPr>
          <w:rFonts w:cstheme="minorHAnsi"/>
        </w:rPr>
        <w:t xml:space="preserve"> sur une dynamique </w:t>
      </w:r>
      <w:r w:rsidR="00956FCC" w:rsidRPr="006A7C23">
        <w:rPr>
          <w:rFonts w:cstheme="minorHAnsi"/>
        </w:rPr>
        <w:t>pluri acteurs</w:t>
      </w:r>
      <w:r w:rsidR="00B61938">
        <w:rPr>
          <w:rFonts w:cstheme="minorHAnsi"/>
        </w:rPr>
        <w:t xml:space="preserve">, </w:t>
      </w:r>
      <w:r w:rsidRPr="006C311D">
        <w:rPr>
          <w:rFonts w:cstheme="minorHAnsi"/>
        </w:rPr>
        <w:t xml:space="preserve">démarche qui correspond à la fois à son engagement auprès de la population concernée et qui lui semble le plus à même d’avoir des effets à court terme, notamment dans l’accompagnement des familles ou dans la formation de certaines catégories de professionnels de l’éducation. </w:t>
      </w:r>
    </w:p>
    <w:p w:rsidR="004D0D7F" w:rsidRDefault="002F78E5" w:rsidP="001E1D37">
      <w:pPr>
        <w:spacing w:line="240" w:lineRule="auto"/>
        <w:jc w:val="both"/>
        <w:rPr>
          <w:rFonts w:cstheme="minorHAnsi"/>
        </w:rPr>
      </w:pPr>
      <w:r>
        <w:rPr>
          <w:rFonts w:cstheme="minorHAnsi"/>
        </w:rPr>
        <w:t>Cette démarche</w:t>
      </w:r>
      <w:r w:rsidR="001E1D37" w:rsidRPr="006A7C23">
        <w:rPr>
          <w:rFonts w:cstheme="minorHAnsi"/>
        </w:rPr>
        <w:t xml:space="preserve"> comportait des risques de stigmatisation soulignés d’ailleurs par les acteurs associatifs et la communauté éducative. Un long travail d’information a donc été nécessaire pour lever les réticences et réserves des partenaires. </w:t>
      </w:r>
      <w:r w:rsidR="001E1D37">
        <w:rPr>
          <w:rFonts w:cstheme="minorHAnsi"/>
        </w:rPr>
        <w:t>U</w:t>
      </w:r>
      <w:r w:rsidR="001E1D37" w:rsidRPr="006A7C23">
        <w:rPr>
          <w:rFonts w:cstheme="minorHAnsi"/>
        </w:rPr>
        <w:t xml:space="preserve">n comité de pilotage </w:t>
      </w:r>
      <w:r w:rsidR="001E1D37">
        <w:rPr>
          <w:rFonts w:cstheme="minorHAnsi"/>
        </w:rPr>
        <w:t>a été mis</w:t>
      </w:r>
      <w:r w:rsidR="001E1D37" w:rsidRPr="006A7C23">
        <w:rPr>
          <w:rFonts w:cstheme="minorHAnsi"/>
        </w:rPr>
        <w:t xml:space="preserve"> en p</w:t>
      </w:r>
      <w:r w:rsidR="001E1D37">
        <w:rPr>
          <w:rFonts w:cstheme="minorHAnsi"/>
        </w:rPr>
        <w:t>lace sur chacun d</w:t>
      </w:r>
      <w:r w:rsidR="001E1D37" w:rsidRPr="006A7C23">
        <w:rPr>
          <w:rFonts w:cstheme="minorHAnsi"/>
        </w:rPr>
        <w:t>es te</w:t>
      </w:r>
      <w:r w:rsidR="001E1D37">
        <w:rPr>
          <w:rFonts w:cstheme="minorHAnsi"/>
        </w:rPr>
        <w:t>rritoires d’enquêtes avec la participation d</w:t>
      </w:r>
      <w:r w:rsidR="001E1D37" w:rsidRPr="006A7C23">
        <w:rPr>
          <w:rFonts w:cstheme="minorHAnsi"/>
        </w:rPr>
        <w:t xml:space="preserve">es acteurs locaux (représentants de la municipalité, des associations et </w:t>
      </w:r>
      <w:r w:rsidR="001E1D37">
        <w:rPr>
          <w:rFonts w:cstheme="minorHAnsi"/>
        </w:rPr>
        <w:t>de l’institution scolaire). L</w:t>
      </w:r>
      <w:r w:rsidR="001E1D37" w:rsidRPr="006A7C23">
        <w:rPr>
          <w:rFonts w:cstheme="minorHAnsi"/>
        </w:rPr>
        <w:t xml:space="preserve">es réunions </w:t>
      </w:r>
      <w:r w:rsidR="001E1D37">
        <w:rPr>
          <w:rFonts w:cstheme="minorHAnsi"/>
        </w:rPr>
        <w:t>ont ponctué</w:t>
      </w:r>
      <w:r w:rsidR="001E1D37" w:rsidRPr="006A7C23">
        <w:rPr>
          <w:rFonts w:cstheme="minorHAnsi"/>
        </w:rPr>
        <w:t xml:space="preserve"> les diffé</w:t>
      </w:r>
      <w:r w:rsidR="00E0697F">
        <w:rPr>
          <w:rFonts w:cstheme="minorHAnsi"/>
        </w:rPr>
        <w:t xml:space="preserve">rentes étapes de </w:t>
      </w:r>
      <w:r w:rsidR="001E1D37" w:rsidRPr="006A7C23">
        <w:rPr>
          <w:rFonts w:cstheme="minorHAnsi"/>
        </w:rPr>
        <w:t xml:space="preserve"> l’enquête</w:t>
      </w:r>
      <w:r w:rsidR="001E1D37">
        <w:rPr>
          <w:rFonts w:cstheme="minorHAnsi"/>
        </w:rPr>
        <w:t xml:space="preserve"> et permis</w:t>
      </w:r>
      <w:r w:rsidR="001E1D37" w:rsidRPr="006A7C23">
        <w:rPr>
          <w:rFonts w:cstheme="minorHAnsi"/>
        </w:rPr>
        <w:t xml:space="preserve"> d’affiner la démarche et les hypothèses de travail.</w:t>
      </w:r>
    </w:p>
    <w:p w:rsidR="00EA7261" w:rsidRPr="005B4D43" w:rsidRDefault="001E1D37" w:rsidP="001E1D37">
      <w:pPr>
        <w:spacing w:line="240" w:lineRule="auto"/>
        <w:jc w:val="both"/>
        <w:rPr>
          <w:rFonts w:cstheme="minorHAnsi"/>
          <w:b/>
          <w:bCs/>
          <w:iCs/>
          <w:sz w:val="28"/>
          <w:szCs w:val="28"/>
        </w:rPr>
      </w:pPr>
      <w:r w:rsidRPr="005B4D43">
        <w:rPr>
          <w:rFonts w:cstheme="minorHAnsi"/>
          <w:sz w:val="28"/>
          <w:szCs w:val="28"/>
        </w:rPr>
        <w:lastRenderedPageBreak/>
        <w:t xml:space="preserve"> </w:t>
      </w:r>
      <w:r w:rsidR="00325453" w:rsidRPr="00850EBA">
        <w:rPr>
          <w:rFonts w:cstheme="minorHAnsi"/>
          <w:b/>
          <w:sz w:val="28"/>
          <w:szCs w:val="28"/>
        </w:rPr>
        <w:t>2)</w:t>
      </w:r>
      <w:r w:rsidR="00D9570B">
        <w:rPr>
          <w:rFonts w:cstheme="minorHAnsi"/>
          <w:sz w:val="28"/>
          <w:szCs w:val="28"/>
        </w:rPr>
        <w:t xml:space="preserve"> </w:t>
      </w:r>
      <w:r w:rsidR="00EA7261" w:rsidRPr="005B4D43">
        <w:rPr>
          <w:rFonts w:cstheme="minorHAnsi"/>
          <w:b/>
          <w:bCs/>
          <w:iCs/>
          <w:sz w:val="28"/>
          <w:szCs w:val="28"/>
        </w:rPr>
        <w:t>Méthodologie</w:t>
      </w:r>
    </w:p>
    <w:p w:rsidR="00C72AF6" w:rsidRDefault="00DD762E" w:rsidP="00DD762E">
      <w:pPr>
        <w:spacing w:line="240" w:lineRule="auto"/>
        <w:jc w:val="both"/>
      </w:pPr>
      <w:r w:rsidRPr="00DD762E">
        <w:rPr>
          <w:rFonts w:cstheme="minorHAnsi"/>
        </w:rPr>
        <w:t xml:space="preserve">La méthodologie croise une enquête quantitative par questionnaire visant à identifier les caractéristiques socio‐économiques des familles enquêtées et une série d’entretiens pour cerner les parcours scolaires. </w:t>
      </w:r>
      <w:r w:rsidRPr="00DD762E">
        <w:t>La recherche a concerné différents types de publics : hommes et femmes immigrés, professionnels de l’éducation nationale et acteurs locaux, et bien sûr les enfants eux‐mêmes. L’enquête quantitative</w:t>
      </w:r>
      <w:r w:rsidR="00C72AF6">
        <w:t xml:space="preserve"> par questionnaires </w:t>
      </w:r>
      <w:r w:rsidRPr="00DD762E">
        <w:t>a touché 94 personnes.</w:t>
      </w:r>
      <w:r w:rsidR="00933F95">
        <w:t xml:space="preserve"> Par ailleurs, </w:t>
      </w:r>
      <w:r w:rsidR="00C72AF6">
        <w:t xml:space="preserve">57 entretiens </w:t>
      </w:r>
      <w:r w:rsidRPr="00DD762E">
        <w:t xml:space="preserve"> ont été menés aup</w:t>
      </w:r>
      <w:r w:rsidR="00C72AF6">
        <w:t xml:space="preserve">rès de leaders associatifs, des </w:t>
      </w:r>
      <w:r w:rsidRPr="00DD762E">
        <w:t>acteurs so</w:t>
      </w:r>
      <w:r w:rsidR="00C72AF6">
        <w:t>cioéducatifs (enseignants…) et auprès de collégiens. P</w:t>
      </w:r>
      <w:r w:rsidRPr="00DD762E">
        <w:t>our ces derniers, nous avons d’abord identifié les associations relais afin de sensibiliser les parents et de mobiliser les enfants.</w:t>
      </w:r>
      <w:r w:rsidR="00C72AF6">
        <w:t xml:space="preserve"> </w:t>
      </w:r>
    </w:p>
    <w:p w:rsidR="00823E42" w:rsidRDefault="00D9570B" w:rsidP="00DD762E">
      <w:pPr>
        <w:spacing w:line="240" w:lineRule="auto"/>
        <w:jc w:val="both"/>
        <w:rPr>
          <w:rFonts w:cstheme="minorHAnsi"/>
        </w:rPr>
      </w:pPr>
      <w:r w:rsidRPr="00933F95">
        <w:rPr>
          <w:rFonts w:cstheme="minorHAnsi"/>
        </w:rPr>
        <w:t>L’a</w:t>
      </w:r>
      <w:r w:rsidR="00DD762E" w:rsidRPr="00DD762E">
        <w:rPr>
          <w:rFonts w:cstheme="minorHAnsi"/>
        </w:rPr>
        <w:t xml:space="preserve">nalyse qualitative des histoires de parcours scolaires a permis </w:t>
      </w:r>
      <w:r w:rsidR="00DD762E" w:rsidRPr="00DD762E">
        <w:t>de cerner quelques variables récurrentes</w:t>
      </w:r>
      <w:r w:rsidR="00823E42">
        <w:t xml:space="preserve"> (acceptation ou refus des normes scolaires,  </w:t>
      </w:r>
      <w:r w:rsidR="00823E42" w:rsidRPr="00823E42">
        <w:rPr>
          <w:rFonts w:cstheme="minorHAnsi"/>
        </w:rPr>
        <w:t xml:space="preserve"> </w:t>
      </w:r>
      <w:r w:rsidR="00823E42" w:rsidRPr="00DD762E">
        <w:rPr>
          <w:rFonts w:cstheme="minorHAnsi"/>
        </w:rPr>
        <w:t>position critique par rapport à l’école, mo</w:t>
      </w:r>
      <w:r w:rsidR="00823E42">
        <w:rPr>
          <w:rFonts w:cstheme="minorHAnsi"/>
        </w:rPr>
        <w:t>des et styles de socialisation</w:t>
      </w:r>
      <w:r w:rsidR="00823E42">
        <w:t>)</w:t>
      </w:r>
      <w:r w:rsidR="00DD762E" w:rsidRPr="00DD762E">
        <w:t xml:space="preserve"> et de proposer l</w:t>
      </w:r>
      <w:r w:rsidR="00C72AF6">
        <w:t>es éléments d’une typologie d’</w:t>
      </w:r>
      <w:r w:rsidR="00DD762E" w:rsidRPr="00DD762E">
        <w:t xml:space="preserve">élèves en fonction de leur positionnement vis‐à‐vis de l’école. </w:t>
      </w:r>
      <w:r w:rsidR="00DD762E" w:rsidRPr="00DD762E">
        <w:rPr>
          <w:rFonts w:cstheme="minorHAnsi"/>
        </w:rPr>
        <w:t>Cette typologie des postures  alerte sur la nécessité d’une approche différenciée des élèves en fonction de leurs rapports à l’institution scolaire</w:t>
      </w:r>
      <w:r w:rsidR="00823E42">
        <w:rPr>
          <w:rFonts w:cstheme="minorHAnsi"/>
        </w:rPr>
        <w:t>.</w:t>
      </w:r>
    </w:p>
    <w:p w:rsidR="001E1D37" w:rsidRPr="00440FE1" w:rsidRDefault="00325453" w:rsidP="00440FE1">
      <w:pPr>
        <w:rPr>
          <w:b/>
          <w:sz w:val="28"/>
          <w:szCs w:val="28"/>
        </w:rPr>
      </w:pPr>
      <w:r>
        <w:rPr>
          <w:b/>
          <w:sz w:val="28"/>
          <w:szCs w:val="28"/>
        </w:rPr>
        <w:t xml:space="preserve">3) </w:t>
      </w:r>
      <w:r w:rsidR="001E1D37" w:rsidRPr="00440FE1">
        <w:rPr>
          <w:b/>
          <w:sz w:val="28"/>
          <w:szCs w:val="28"/>
        </w:rPr>
        <w:t>Résultats</w:t>
      </w:r>
    </w:p>
    <w:p w:rsidR="001E1D37" w:rsidRDefault="00325453" w:rsidP="001E1D37">
      <w:pPr>
        <w:pStyle w:val="Default"/>
        <w:jc w:val="both"/>
        <w:rPr>
          <w:rFonts w:cstheme="minorHAnsi"/>
          <w:b/>
          <w:color w:val="auto"/>
        </w:rPr>
      </w:pPr>
      <w:r>
        <w:rPr>
          <w:rFonts w:cstheme="minorHAnsi"/>
          <w:b/>
          <w:color w:val="auto"/>
        </w:rPr>
        <w:t xml:space="preserve">3.1) </w:t>
      </w:r>
      <w:r w:rsidR="001E1D37" w:rsidRPr="005B4D43">
        <w:rPr>
          <w:rFonts w:cstheme="minorHAnsi"/>
          <w:b/>
          <w:color w:val="auto"/>
        </w:rPr>
        <w:t>Une population plurielle et en évolution</w:t>
      </w:r>
    </w:p>
    <w:p w:rsidR="00E50200" w:rsidRPr="00607CCE" w:rsidRDefault="001E1D37" w:rsidP="001E1D37">
      <w:pPr>
        <w:pStyle w:val="Default"/>
        <w:jc w:val="both"/>
        <w:rPr>
          <w:rFonts w:asciiTheme="minorHAnsi" w:hAnsiTheme="minorHAnsi" w:cstheme="minorHAnsi"/>
          <w:color w:val="auto"/>
          <w:sz w:val="22"/>
          <w:szCs w:val="22"/>
        </w:rPr>
      </w:pPr>
      <w:r w:rsidRPr="006A7C23">
        <w:rPr>
          <w:rFonts w:cstheme="minorHAnsi"/>
          <w:color w:val="auto"/>
          <w:sz w:val="22"/>
          <w:szCs w:val="22"/>
        </w:rPr>
        <w:t>A la différence</w:t>
      </w:r>
      <w:r>
        <w:rPr>
          <w:rFonts w:eastAsia="Calibri" w:cs="Times New Roman"/>
          <w:color w:val="auto"/>
          <w:sz w:val="22"/>
          <w:szCs w:val="22"/>
        </w:rPr>
        <w:t xml:space="preserve"> </w:t>
      </w:r>
      <w:r w:rsidR="00DD762E">
        <w:rPr>
          <w:rFonts w:eastAsia="Calibri" w:cs="Times New Roman"/>
          <w:color w:val="auto"/>
          <w:sz w:val="22"/>
          <w:szCs w:val="22"/>
        </w:rPr>
        <w:t>des travaux  précédent</w:t>
      </w:r>
      <w:r w:rsidRPr="006A7C23">
        <w:rPr>
          <w:rFonts w:eastAsia="Calibri" w:cs="Times New Roman"/>
          <w:color w:val="auto"/>
          <w:sz w:val="22"/>
          <w:szCs w:val="22"/>
        </w:rPr>
        <w:t xml:space="preserve">s, la présente étude </w:t>
      </w:r>
      <w:r w:rsidRPr="006A7C23">
        <w:rPr>
          <w:rFonts w:cstheme="minorHAnsi"/>
          <w:color w:val="auto"/>
          <w:sz w:val="22"/>
          <w:szCs w:val="22"/>
        </w:rPr>
        <w:t xml:space="preserve">envisage </w:t>
      </w:r>
      <w:r>
        <w:rPr>
          <w:rFonts w:cstheme="minorHAnsi"/>
          <w:color w:val="auto"/>
          <w:sz w:val="22"/>
          <w:szCs w:val="22"/>
        </w:rPr>
        <w:t xml:space="preserve"> </w:t>
      </w:r>
      <w:r w:rsidRPr="006A7C23">
        <w:rPr>
          <w:rFonts w:cstheme="minorHAnsi"/>
          <w:color w:val="auto"/>
          <w:sz w:val="22"/>
          <w:szCs w:val="22"/>
        </w:rPr>
        <w:t xml:space="preserve">la population enquêtée dans sa </w:t>
      </w:r>
      <w:r w:rsidR="003C0D11">
        <w:rPr>
          <w:rFonts w:cstheme="minorHAnsi"/>
          <w:color w:val="auto"/>
          <w:sz w:val="22"/>
          <w:szCs w:val="22"/>
        </w:rPr>
        <w:t xml:space="preserve">pluralité. </w:t>
      </w:r>
      <w:r w:rsidR="0036143F">
        <w:rPr>
          <w:rFonts w:cstheme="minorHAnsi"/>
          <w:color w:val="auto"/>
          <w:sz w:val="22"/>
          <w:szCs w:val="22"/>
        </w:rPr>
        <w:t xml:space="preserve">Même si les familles </w:t>
      </w:r>
      <w:r w:rsidR="00607CCE">
        <w:rPr>
          <w:rFonts w:cstheme="minorHAnsi"/>
          <w:color w:val="auto"/>
          <w:sz w:val="22"/>
          <w:szCs w:val="22"/>
        </w:rPr>
        <w:t xml:space="preserve">originaires </w:t>
      </w:r>
      <w:r w:rsidRPr="006A7C23">
        <w:rPr>
          <w:rFonts w:cstheme="minorHAnsi"/>
          <w:color w:val="auto"/>
          <w:sz w:val="22"/>
          <w:szCs w:val="22"/>
        </w:rPr>
        <w:t xml:space="preserve"> de la vallée du fleuve Sénégal sont nombreu</w:t>
      </w:r>
      <w:r w:rsidR="0036143F">
        <w:rPr>
          <w:rFonts w:cstheme="minorHAnsi"/>
          <w:color w:val="auto"/>
          <w:sz w:val="22"/>
          <w:szCs w:val="22"/>
        </w:rPr>
        <w:t>ses</w:t>
      </w:r>
      <w:r w:rsidRPr="006A7C23">
        <w:rPr>
          <w:rFonts w:cstheme="minorHAnsi"/>
          <w:color w:val="auto"/>
          <w:sz w:val="22"/>
          <w:szCs w:val="22"/>
        </w:rPr>
        <w:t xml:space="preserve"> en France, il a semblé </w:t>
      </w:r>
      <w:r w:rsidR="009B0984">
        <w:rPr>
          <w:rFonts w:cstheme="minorHAnsi"/>
          <w:color w:val="auto"/>
          <w:sz w:val="22"/>
          <w:szCs w:val="22"/>
        </w:rPr>
        <w:t>important</w:t>
      </w:r>
      <w:r w:rsidR="00607CCE">
        <w:rPr>
          <w:rFonts w:cstheme="minorHAnsi"/>
          <w:color w:val="auto"/>
          <w:sz w:val="22"/>
          <w:szCs w:val="22"/>
        </w:rPr>
        <w:t xml:space="preserve"> d’intégrer dans la</w:t>
      </w:r>
      <w:r w:rsidR="009B0984">
        <w:rPr>
          <w:rFonts w:cstheme="minorHAnsi"/>
          <w:color w:val="auto"/>
          <w:sz w:val="22"/>
          <w:szCs w:val="22"/>
        </w:rPr>
        <w:t xml:space="preserve"> recherche des familles d’origines autres et </w:t>
      </w:r>
      <w:r w:rsidRPr="006A7C23">
        <w:rPr>
          <w:rFonts w:cstheme="minorHAnsi"/>
          <w:color w:val="auto"/>
          <w:sz w:val="22"/>
          <w:szCs w:val="22"/>
        </w:rPr>
        <w:t xml:space="preserve"> </w:t>
      </w:r>
      <w:r w:rsidR="009B0984">
        <w:rPr>
          <w:rFonts w:cstheme="minorHAnsi"/>
          <w:color w:val="auto"/>
          <w:sz w:val="22"/>
          <w:szCs w:val="22"/>
        </w:rPr>
        <w:t xml:space="preserve">avec </w:t>
      </w:r>
      <w:r w:rsidRPr="006A7C23">
        <w:rPr>
          <w:rFonts w:cstheme="minorHAnsi"/>
          <w:color w:val="auto"/>
          <w:sz w:val="22"/>
          <w:szCs w:val="22"/>
        </w:rPr>
        <w:t xml:space="preserve"> des projets migratoires différents ayant une incidence sur la socialisation des enfants dans la société d’accueil. </w:t>
      </w:r>
      <w:r w:rsidRPr="006A7C23">
        <w:rPr>
          <w:rFonts w:asciiTheme="minorHAnsi" w:hAnsiTheme="minorHAnsi" w:cstheme="minorHAnsi"/>
          <w:color w:val="auto"/>
          <w:sz w:val="22"/>
          <w:szCs w:val="22"/>
        </w:rPr>
        <w:t>Le profil du «migrant rural, polygame, analphabète» du bassin du fleuve Sénégal, encore très présent dans les représentations, n’est plus dominant dans la réalité. Il y a désormais une nouvelle génération de migrants en provenance de l’Afrique centrale et des zones u</w:t>
      </w:r>
      <w:r w:rsidR="000F3769">
        <w:rPr>
          <w:rFonts w:asciiTheme="minorHAnsi" w:hAnsiTheme="minorHAnsi" w:cstheme="minorHAnsi"/>
          <w:color w:val="auto"/>
          <w:sz w:val="22"/>
          <w:szCs w:val="22"/>
        </w:rPr>
        <w:t xml:space="preserve">rbaines de l’Afrique de l’Ouest. </w:t>
      </w:r>
      <w:r w:rsidRPr="006A7C23">
        <w:rPr>
          <w:rFonts w:asciiTheme="minorHAnsi" w:hAnsiTheme="minorHAnsi" w:cstheme="minorHAnsi"/>
          <w:color w:val="auto"/>
          <w:sz w:val="22"/>
          <w:szCs w:val="22"/>
        </w:rPr>
        <w:t xml:space="preserve"> </w:t>
      </w:r>
      <w:r w:rsidR="000F3769">
        <w:rPr>
          <w:rFonts w:asciiTheme="minorHAnsi" w:hAnsiTheme="minorHAnsi" w:cstheme="minorHAnsi"/>
          <w:color w:val="auto"/>
          <w:sz w:val="22"/>
          <w:szCs w:val="22"/>
        </w:rPr>
        <w:t xml:space="preserve">Celle-ci </w:t>
      </w:r>
      <w:r w:rsidRPr="006A7C23">
        <w:rPr>
          <w:rFonts w:asciiTheme="minorHAnsi" w:hAnsiTheme="minorHAnsi" w:cstheme="minorHAnsi"/>
          <w:color w:val="auto"/>
          <w:sz w:val="22"/>
          <w:szCs w:val="22"/>
        </w:rPr>
        <w:t xml:space="preserve"> </w:t>
      </w:r>
      <w:r w:rsidR="00330A3E">
        <w:rPr>
          <w:rFonts w:asciiTheme="minorHAnsi" w:hAnsiTheme="minorHAnsi" w:cstheme="minorHAnsi"/>
          <w:color w:val="auto"/>
          <w:sz w:val="22"/>
          <w:szCs w:val="22"/>
        </w:rPr>
        <w:t xml:space="preserve">se féminise </w:t>
      </w:r>
      <w:r w:rsidR="000F3769">
        <w:rPr>
          <w:rFonts w:asciiTheme="minorHAnsi" w:hAnsiTheme="minorHAnsi" w:cstheme="minorHAnsi"/>
          <w:color w:val="auto"/>
          <w:sz w:val="22"/>
          <w:szCs w:val="22"/>
        </w:rPr>
        <w:t xml:space="preserve">et </w:t>
      </w:r>
      <w:r w:rsidR="008F7841">
        <w:rPr>
          <w:rFonts w:asciiTheme="minorHAnsi" w:hAnsiTheme="minorHAnsi" w:cstheme="minorHAnsi"/>
          <w:color w:val="auto"/>
          <w:sz w:val="22"/>
          <w:szCs w:val="22"/>
        </w:rPr>
        <w:t xml:space="preserve">son </w:t>
      </w:r>
      <w:r w:rsidR="000F3769">
        <w:rPr>
          <w:rFonts w:asciiTheme="minorHAnsi" w:hAnsiTheme="minorHAnsi" w:cstheme="minorHAnsi"/>
          <w:color w:val="auto"/>
          <w:sz w:val="22"/>
          <w:szCs w:val="22"/>
        </w:rPr>
        <w:t xml:space="preserve">niveau d’étude </w:t>
      </w:r>
      <w:r w:rsidR="008F7841">
        <w:rPr>
          <w:rFonts w:asciiTheme="minorHAnsi" w:hAnsiTheme="minorHAnsi" w:cstheme="minorHAnsi"/>
          <w:color w:val="auto"/>
          <w:sz w:val="22"/>
          <w:szCs w:val="22"/>
        </w:rPr>
        <w:t xml:space="preserve">est </w:t>
      </w:r>
      <w:r w:rsidR="000F3769">
        <w:rPr>
          <w:rFonts w:asciiTheme="minorHAnsi" w:hAnsiTheme="minorHAnsi" w:cstheme="minorHAnsi"/>
          <w:color w:val="auto"/>
          <w:sz w:val="22"/>
          <w:szCs w:val="22"/>
        </w:rPr>
        <w:t>plus élevé</w:t>
      </w:r>
      <w:r w:rsidR="00203ECE">
        <w:rPr>
          <w:rFonts w:asciiTheme="minorHAnsi" w:hAnsiTheme="minorHAnsi" w:cstheme="minorHAnsi"/>
          <w:color w:val="auto"/>
          <w:sz w:val="22"/>
          <w:szCs w:val="22"/>
        </w:rPr>
        <w:t>.</w:t>
      </w:r>
      <w:r w:rsidR="00330A3E" w:rsidRPr="00607CCE">
        <w:rPr>
          <w:rFonts w:asciiTheme="minorHAnsi" w:hAnsiTheme="minorHAnsi" w:cstheme="minorHAnsi"/>
          <w:color w:val="auto"/>
          <w:sz w:val="22"/>
          <w:szCs w:val="22"/>
        </w:rPr>
        <w:t xml:space="preserve"> </w:t>
      </w:r>
      <w:r w:rsidR="000F3769" w:rsidRPr="00607CCE">
        <w:rPr>
          <w:rFonts w:asciiTheme="minorHAnsi" w:hAnsiTheme="minorHAnsi" w:cstheme="minorHAnsi"/>
          <w:color w:val="auto"/>
          <w:sz w:val="22"/>
          <w:szCs w:val="22"/>
        </w:rPr>
        <w:t xml:space="preserve"> </w:t>
      </w:r>
      <w:r w:rsidRPr="00607CCE">
        <w:rPr>
          <w:rFonts w:asciiTheme="minorHAnsi" w:hAnsiTheme="minorHAnsi" w:cstheme="minorHAnsi"/>
          <w:color w:val="auto"/>
          <w:sz w:val="22"/>
          <w:szCs w:val="22"/>
        </w:rPr>
        <w:t>Ainsi</w:t>
      </w:r>
      <w:r w:rsidR="000F3769" w:rsidRPr="00607CCE">
        <w:rPr>
          <w:rFonts w:asciiTheme="minorHAnsi" w:hAnsiTheme="minorHAnsi" w:cstheme="minorHAnsi"/>
          <w:color w:val="auto"/>
          <w:sz w:val="22"/>
          <w:szCs w:val="22"/>
        </w:rPr>
        <w:t xml:space="preserve">, lors de notre enquête  sur les </w:t>
      </w:r>
      <w:r w:rsidRPr="00607CCE">
        <w:rPr>
          <w:rFonts w:asciiTheme="minorHAnsi" w:hAnsiTheme="minorHAnsi" w:cstheme="minorHAnsi"/>
          <w:color w:val="auto"/>
          <w:sz w:val="22"/>
          <w:szCs w:val="22"/>
        </w:rPr>
        <w:t xml:space="preserve"> 72% des personnes </w:t>
      </w:r>
      <w:r w:rsidR="000F3769" w:rsidRPr="00607CCE">
        <w:rPr>
          <w:rFonts w:asciiTheme="minorHAnsi" w:hAnsiTheme="minorHAnsi" w:cstheme="minorHAnsi"/>
          <w:color w:val="auto"/>
          <w:sz w:val="22"/>
          <w:szCs w:val="22"/>
        </w:rPr>
        <w:t xml:space="preserve">ayant affirmé avoir été </w:t>
      </w:r>
      <w:r w:rsidRPr="00607CCE">
        <w:rPr>
          <w:rFonts w:asciiTheme="minorHAnsi" w:hAnsiTheme="minorHAnsi" w:cstheme="minorHAnsi"/>
          <w:color w:val="auto"/>
          <w:sz w:val="22"/>
          <w:szCs w:val="22"/>
        </w:rPr>
        <w:t xml:space="preserve"> à l’école</w:t>
      </w:r>
      <w:r w:rsidR="007E05B4" w:rsidRPr="00607CCE">
        <w:rPr>
          <w:rFonts w:asciiTheme="minorHAnsi" w:hAnsiTheme="minorHAnsi" w:cstheme="minorHAnsi"/>
          <w:color w:val="auto"/>
          <w:sz w:val="22"/>
          <w:szCs w:val="22"/>
        </w:rPr>
        <w:t xml:space="preserve">, </w:t>
      </w:r>
      <w:r w:rsidRPr="00607CCE">
        <w:rPr>
          <w:rFonts w:asciiTheme="minorHAnsi" w:hAnsiTheme="minorHAnsi" w:cstheme="minorHAnsi"/>
          <w:color w:val="auto"/>
          <w:sz w:val="22"/>
          <w:szCs w:val="22"/>
        </w:rPr>
        <w:t xml:space="preserve"> 76% sont des femmes. </w:t>
      </w:r>
    </w:p>
    <w:p w:rsidR="00ED5482" w:rsidRPr="00F743C9" w:rsidRDefault="00594419" w:rsidP="001E1D37">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Autre</w:t>
      </w:r>
      <w:r w:rsidR="0022055B">
        <w:rPr>
          <w:rFonts w:asciiTheme="minorHAnsi" w:hAnsiTheme="minorHAnsi" w:cstheme="minorHAnsi"/>
          <w:color w:val="auto"/>
          <w:sz w:val="22"/>
          <w:szCs w:val="22"/>
        </w:rPr>
        <w:t xml:space="preserve"> phénomène </w:t>
      </w:r>
      <w:r>
        <w:rPr>
          <w:rFonts w:asciiTheme="minorHAnsi" w:hAnsiTheme="minorHAnsi" w:cstheme="minorHAnsi"/>
          <w:color w:val="auto"/>
          <w:sz w:val="22"/>
          <w:szCs w:val="22"/>
        </w:rPr>
        <w:t xml:space="preserve">qui </w:t>
      </w:r>
      <w:r w:rsidR="00B21EEB" w:rsidRPr="00F743C9">
        <w:rPr>
          <w:rFonts w:asciiTheme="minorHAnsi" w:hAnsiTheme="minorHAnsi" w:cstheme="minorHAnsi"/>
          <w:color w:val="auto"/>
          <w:sz w:val="22"/>
          <w:szCs w:val="22"/>
        </w:rPr>
        <w:t xml:space="preserve"> indique les mutations au sein des familles </w:t>
      </w:r>
      <w:r>
        <w:rPr>
          <w:rFonts w:asciiTheme="minorHAnsi" w:hAnsiTheme="minorHAnsi" w:cstheme="minorHAnsi"/>
          <w:color w:val="auto"/>
          <w:sz w:val="22"/>
          <w:szCs w:val="22"/>
        </w:rPr>
        <w:t>subsahariennes en  France :</w:t>
      </w:r>
      <w:r w:rsidR="00B21EEB" w:rsidRPr="00F743C9">
        <w:rPr>
          <w:rFonts w:asciiTheme="minorHAnsi" w:hAnsiTheme="minorHAnsi" w:cstheme="minorHAnsi"/>
          <w:color w:val="auto"/>
          <w:sz w:val="22"/>
          <w:szCs w:val="22"/>
        </w:rPr>
        <w:t xml:space="preserve"> le nombre </w:t>
      </w:r>
      <w:r w:rsidR="001E1D37" w:rsidRPr="00F743C9">
        <w:rPr>
          <w:rFonts w:asciiTheme="minorHAnsi" w:hAnsiTheme="minorHAnsi" w:cstheme="minorHAnsi"/>
          <w:color w:val="auto"/>
          <w:sz w:val="22"/>
          <w:szCs w:val="22"/>
        </w:rPr>
        <w:t xml:space="preserve"> </w:t>
      </w:r>
      <w:r w:rsidR="00B21EEB" w:rsidRPr="00F743C9">
        <w:rPr>
          <w:rFonts w:asciiTheme="minorHAnsi" w:hAnsiTheme="minorHAnsi" w:cstheme="minorHAnsi"/>
          <w:color w:val="auto"/>
          <w:sz w:val="22"/>
          <w:szCs w:val="22"/>
        </w:rPr>
        <w:t>de familles</w:t>
      </w:r>
      <w:r w:rsidR="001E1D37" w:rsidRPr="00F743C9">
        <w:rPr>
          <w:rFonts w:asciiTheme="minorHAnsi" w:hAnsiTheme="minorHAnsi" w:cstheme="minorHAnsi"/>
          <w:color w:val="auto"/>
          <w:sz w:val="22"/>
          <w:szCs w:val="22"/>
        </w:rPr>
        <w:t xml:space="preserve"> monoparentales (19%) et de femmes élevant seules leurs enfants (21%). </w:t>
      </w:r>
      <w:r>
        <w:rPr>
          <w:rFonts w:asciiTheme="minorHAnsi" w:hAnsiTheme="minorHAnsi" w:cstheme="minorHAnsi"/>
          <w:color w:val="auto"/>
          <w:sz w:val="22"/>
          <w:szCs w:val="22"/>
        </w:rPr>
        <w:t>La</w:t>
      </w:r>
      <w:r w:rsidR="001E1D37" w:rsidRPr="00F743C9">
        <w:rPr>
          <w:rFonts w:asciiTheme="minorHAnsi" w:hAnsiTheme="minorHAnsi" w:cstheme="minorHAnsi"/>
          <w:color w:val="auto"/>
          <w:sz w:val="22"/>
          <w:szCs w:val="22"/>
        </w:rPr>
        <w:t xml:space="preserve"> population concernée comporte des</w:t>
      </w:r>
      <w:r w:rsidR="00B21EEB" w:rsidRPr="00F743C9">
        <w:rPr>
          <w:rFonts w:asciiTheme="minorHAnsi" w:hAnsiTheme="minorHAnsi" w:cstheme="minorHAnsi"/>
          <w:color w:val="auto"/>
          <w:sz w:val="22"/>
          <w:szCs w:val="22"/>
        </w:rPr>
        <w:t xml:space="preserve"> femmes venu</w:t>
      </w:r>
      <w:r w:rsidR="00203ECE">
        <w:rPr>
          <w:rFonts w:asciiTheme="minorHAnsi" w:hAnsiTheme="minorHAnsi" w:cstheme="minorHAnsi"/>
          <w:color w:val="auto"/>
          <w:sz w:val="22"/>
          <w:szCs w:val="22"/>
        </w:rPr>
        <w:t>es seules des centres urbains,</w:t>
      </w:r>
      <w:r w:rsidR="00B21EEB" w:rsidRPr="00F743C9">
        <w:rPr>
          <w:rFonts w:asciiTheme="minorHAnsi" w:hAnsiTheme="minorHAnsi" w:cstheme="minorHAnsi"/>
          <w:color w:val="auto"/>
          <w:sz w:val="22"/>
          <w:szCs w:val="22"/>
        </w:rPr>
        <w:t xml:space="preserve"> des pays </w:t>
      </w:r>
      <w:r w:rsidR="001E1D37" w:rsidRPr="00F743C9">
        <w:rPr>
          <w:rFonts w:asciiTheme="minorHAnsi" w:hAnsiTheme="minorHAnsi" w:cstheme="minorHAnsi"/>
          <w:color w:val="auto"/>
          <w:sz w:val="22"/>
          <w:szCs w:val="22"/>
        </w:rPr>
        <w:t xml:space="preserve"> d’Afriq</w:t>
      </w:r>
      <w:r w:rsidR="00B21EEB" w:rsidRPr="00F743C9">
        <w:rPr>
          <w:rFonts w:asciiTheme="minorHAnsi" w:hAnsiTheme="minorHAnsi" w:cstheme="minorHAnsi"/>
          <w:color w:val="auto"/>
          <w:sz w:val="22"/>
          <w:szCs w:val="22"/>
        </w:rPr>
        <w:t xml:space="preserve">ue centrale et des pays côtiers. Elles  </w:t>
      </w:r>
      <w:r w:rsidR="001E1D37" w:rsidRPr="00F743C9">
        <w:rPr>
          <w:rFonts w:asciiTheme="minorHAnsi" w:hAnsiTheme="minorHAnsi" w:cstheme="minorHAnsi"/>
          <w:color w:val="auto"/>
          <w:sz w:val="22"/>
          <w:szCs w:val="22"/>
        </w:rPr>
        <w:t xml:space="preserve">ont une relative liberté en matière de mobilité et aspirent à une autonomie financière. Ces changements dans le cadre familial ont des incidences sur la socialisation des enfants. </w:t>
      </w:r>
    </w:p>
    <w:p w:rsidR="00ED5482" w:rsidRDefault="00ED5482" w:rsidP="001E1D37">
      <w:pPr>
        <w:pStyle w:val="Default"/>
        <w:jc w:val="both"/>
        <w:rPr>
          <w:rFonts w:asciiTheme="minorHAnsi" w:hAnsiTheme="minorHAnsi" w:cstheme="minorHAnsi"/>
          <w:color w:val="auto"/>
          <w:sz w:val="22"/>
          <w:szCs w:val="22"/>
        </w:rPr>
      </w:pPr>
    </w:p>
    <w:p w:rsidR="00BB1DE0" w:rsidRDefault="001E1D37" w:rsidP="001E1D37">
      <w:pPr>
        <w:pStyle w:val="Default"/>
        <w:jc w:val="both"/>
        <w:rPr>
          <w:rFonts w:cstheme="minorHAnsi"/>
          <w:color w:val="auto"/>
          <w:sz w:val="22"/>
          <w:szCs w:val="22"/>
        </w:rPr>
      </w:pPr>
      <w:r w:rsidRPr="006A7C23">
        <w:rPr>
          <w:rFonts w:asciiTheme="minorHAnsi" w:hAnsiTheme="minorHAnsi" w:cstheme="minorHAnsi"/>
          <w:color w:val="auto"/>
          <w:sz w:val="22"/>
          <w:szCs w:val="22"/>
        </w:rPr>
        <w:t>De manière globale, les migrants originaires de l’Afrique subsaharienne sont confrontés à une précarité socio‐économique. 34% des personnes composant l’échantillon de l’étude sont au chômage. La majorité de ceux qui travaillent exerce</w:t>
      </w:r>
      <w:r w:rsidR="00594419">
        <w:rPr>
          <w:rFonts w:asciiTheme="minorHAnsi" w:hAnsiTheme="minorHAnsi" w:cstheme="minorHAnsi"/>
          <w:color w:val="auto"/>
          <w:sz w:val="22"/>
          <w:szCs w:val="22"/>
        </w:rPr>
        <w:t xml:space="preserve">nt </w:t>
      </w:r>
      <w:r w:rsidRPr="006A7C23">
        <w:rPr>
          <w:rFonts w:asciiTheme="minorHAnsi" w:hAnsiTheme="minorHAnsi" w:cstheme="minorHAnsi"/>
          <w:color w:val="auto"/>
          <w:sz w:val="22"/>
          <w:szCs w:val="22"/>
        </w:rPr>
        <w:t xml:space="preserve"> une fonction peu qualifi</w:t>
      </w:r>
      <w:r w:rsidR="00594419">
        <w:rPr>
          <w:rFonts w:asciiTheme="minorHAnsi" w:hAnsiTheme="minorHAnsi" w:cstheme="minorHAnsi"/>
          <w:color w:val="auto"/>
          <w:sz w:val="22"/>
          <w:szCs w:val="22"/>
        </w:rPr>
        <w:t xml:space="preserve">ante. Ainsi 37% </w:t>
      </w:r>
      <w:r w:rsidRPr="006A7C23">
        <w:rPr>
          <w:rFonts w:asciiTheme="minorHAnsi" w:hAnsiTheme="minorHAnsi" w:cstheme="minorHAnsi"/>
          <w:color w:val="auto"/>
          <w:sz w:val="22"/>
          <w:szCs w:val="22"/>
        </w:rPr>
        <w:t xml:space="preserve"> travaillent dans le secteur du ménage et de l’entretien.</w:t>
      </w:r>
      <w:r w:rsidRPr="006A7C23">
        <w:rPr>
          <w:rFonts w:cstheme="minorHAnsi"/>
          <w:bCs/>
          <w:iCs/>
          <w:color w:val="auto"/>
          <w:sz w:val="22"/>
          <w:szCs w:val="22"/>
        </w:rPr>
        <w:t xml:space="preserve"> </w:t>
      </w:r>
      <w:r w:rsidR="00C75E41">
        <w:rPr>
          <w:rFonts w:cstheme="minorHAnsi"/>
          <w:bCs/>
          <w:iCs/>
          <w:color w:val="auto"/>
          <w:sz w:val="22"/>
          <w:szCs w:val="22"/>
        </w:rPr>
        <w:t>Les</w:t>
      </w:r>
      <w:r w:rsidRPr="006A7C23">
        <w:rPr>
          <w:rFonts w:cstheme="minorHAnsi"/>
          <w:bCs/>
          <w:iCs/>
          <w:color w:val="auto"/>
          <w:sz w:val="22"/>
          <w:szCs w:val="22"/>
        </w:rPr>
        <w:t xml:space="preserve"> familles subsahariennes se différencient de moins </w:t>
      </w:r>
      <w:r w:rsidR="00594419">
        <w:rPr>
          <w:rFonts w:cstheme="minorHAnsi"/>
          <w:bCs/>
          <w:iCs/>
          <w:color w:val="auto"/>
          <w:sz w:val="22"/>
          <w:szCs w:val="22"/>
        </w:rPr>
        <w:t xml:space="preserve">en moins des familles </w:t>
      </w:r>
      <w:r w:rsidRPr="006A7C23">
        <w:rPr>
          <w:rFonts w:cstheme="minorHAnsi"/>
          <w:bCs/>
          <w:iCs/>
          <w:color w:val="auto"/>
          <w:sz w:val="22"/>
          <w:szCs w:val="22"/>
        </w:rPr>
        <w:t xml:space="preserve"> d’origine</w:t>
      </w:r>
      <w:r w:rsidR="00594419">
        <w:rPr>
          <w:rFonts w:cstheme="minorHAnsi"/>
          <w:bCs/>
          <w:iCs/>
          <w:color w:val="auto"/>
          <w:sz w:val="22"/>
          <w:szCs w:val="22"/>
        </w:rPr>
        <w:t xml:space="preserve"> française</w:t>
      </w:r>
      <w:r w:rsidRPr="006A7C23">
        <w:rPr>
          <w:rFonts w:cstheme="minorHAnsi"/>
          <w:bCs/>
          <w:iCs/>
          <w:color w:val="auto"/>
          <w:sz w:val="22"/>
          <w:szCs w:val="22"/>
        </w:rPr>
        <w:t>, parce qu’elles partagent</w:t>
      </w:r>
      <w:r w:rsidRPr="006A7C23">
        <w:rPr>
          <w:rFonts w:cstheme="minorHAnsi"/>
          <w:color w:val="auto"/>
          <w:sz w:val="22"/>
          <w:szCs w:val="22"/>
        </w:rPr>
        <w:t xml:space="preserve"> le sort commun des classes populaires. </w:t>
      </w:r>
    </w:p>
    <w:p w:rsidR="00BB1DE0" w:rsidRDefault="00BB1DE0" w:rsidP="001E1D37">
      <w:pPr>
        <w:pStyle w:val="Default"/>
        <w:jc w:val="both"/>
        <w:rPr>
          <w:rFonts w:cstheme="minorHAnsi"/>
          <w:color w:val="auto"/>
          <w:sz w:val="22"/>
          <w:szCs w:val="22"/>
        </w:rPr>
      </w:pPr>
    </w:p>
    <w:p w:rsidR="00310F74" w:rsidRDefault="00310F74" w:rsidP="001E1D37">
      <w:pPr>
        <w:pStyle w:val="Default"/>
        <w:jc w:val="both"/>
        <w:rPr>
          <w:rFonts w:cstheme="minorHAnsi"/>
          <w:color w:val="auto"/>
          <w:sz w:val="22"/>
          <w:szCs w:val="22"/>
        </w:rPr>
      </w:pPr>
    </w:p>
    <w:p w:rsidR="00BB1DE0" w:rsidRDefault="00BB1DE0" w:rsidP="00BB1DE0">
      <w:pPr>
        <w:pStyle w:val="Default"/>
        <w:jc w:val="center"/>
        <w:rPr>
          <w:rFonts w:cstheme="minorHAnsi"/>
          <w:color w:val="auto"/>
          <w:sz w:val="22"/>
          <w:szCs w:val="22"/>
        </w:rPr>
      </w:pPr>
      <w:r>
        <w:rPr>
          <w:noProof/>
          <w:lang w:eastAsia="fr-FR"/>
        </w:rPr>
        <w:lastRenderedPageBreak/>
        <w:drawing>
          <wp:inline distT="0" distB="0" distL="0" distR="0">
            <wp:extent cx="5572125" cy="3219450"/>
            <wp:effectExtent l="19050" t="0" r="9525" b="0"/>
            <wp:docPr id="15" name="Obje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1DE0" w:rsidRDefault="00BB1DE0" w:rsidP="001E1D37">
      <w:pPr>
        <w:pStyle w:val="Default"/>
        <w:jc w:val="both"/>
        <w:rPr>
          <w:rFonts w:cstheme="minorHAnsi"/>
          <w:color w:val="auto"/>
          <w:sz w:val="22"/>
          <w:szCs w:val="22"/>
        </w:rPr>
      </w:pPr>
    </w:p>
    <w:p w:rsidR="00310F74" w:rsidRDefault="00310F74" w:rsidP="001E1D37">
      <w:pPr>
        <w:pStyle w:val="Default"/>
        <w:jc w:val="both"/>
        <w:rPr>
          <w:rFonts w:cstheme="minorHAnsi"/>
          <w:color w:val="auto"/>
          <w:sz w:val="22"/>
          <w:szCs w:val="22"/>
        </w:rPr>
      </w:pPr>
    </w:p>
    <w:p w:rsidR="0022055B" w:rsidRDefault="0022055B" w:rsidP="001E1D37">
      <w:pPr>
        <w:pStyle w:val="Default"/>
        <w:jc w:val="both"/>
        <w:rPr>
          <w:rFonts w:cstheme="minorHAnsi"/>
          <w:color w:val="auto"/>
          <w:sz w:val="22"/>
          <w:szCs w:val="22"/>
        </w:rPr>
      </w:pPr>
    </w:p>
    <w:p w:rsidR="00310F74" w:rsidRPr="006A7C23" w:rsidRDefault="001E1D37" w:rsidP="001E1D37">
      <w:pPr>
        <w:pStyle w:val="Default"/>
        <w:jc w:val="both"/>
        <w:rPr>
          <w:rFonts w:cstheme="minorHAnsi"/>
          <w:b/>
          <w:color w:val="auto"/>
          <w:sz w:val="22"/>
          <w:szCs w:val="22"/>
        </w:rPr>
      </w:pPr>
      <w:r w:rsidRPr="006A7C23">
        <w:rPr>
          <w:rFonts w:cstheme="minorHAnsi"/>
          <w:color w:val="auto"/>
          <w:sz w:val="22"/>
          <w:szCs w:val="22"/>
        </w:rPr>
        <w:t xml:space="preserve">La présence de plus en plus importante des femmes au travail a une incidence non négligeable sur le fonctionnement des familles et sur leur positionnement par rapport à l’école. </w:t>
      </w:r>
      <w:r w:rsidR="002557DB" w:rsidRPr="005378F6">
        <w:rPr>
          <w:rFonts w:cstheme="minorHAnsi"/>
          <w:color w:val="auto"/>
          <w:sz w:val="22"/>
          <w:szCs w:val="22"/>
        </w:rPr>
        <w:t>Elle so</w:t>
      </w:r>
      <w:r w:rsidR="00203ECE">
        <w:rPr>
          <w:rFonts w:cstheme="minorHAnsi"/>
          <w:color w:val="auto"/>
          <w:sz w:val="22"/>
          <w:szCs w:val="22"/>
        </w:rPr>
        <w:t xml:space="preserve">ulève la question </w:t>
      </w:r>
      <w:r w:rsidR="002557DB" w:rsidRPr="005378F6">
        <w:rPr>
          <w:rFonts w:cstheme="minorHAnsi"/>
          <w:color w:val="auto"/>
          <w:sz w:val="22"/>
          <w:szCs w:val="22"/>
        </w:rPr>
        <w:t>de l’articulation des temps et des tâches au sein des familles.</w:t>
      </w:r>
      <w:r w:rsidR="00D9570B">
        <w:rPr>
          <w:rFonts w:cstheme="minorHAnsi"/>
          <w:color w:val="auto"/>
          <w:sz w:val="22"/>
          <w:szCs w:val="22"/>
        </w:rPr>
        <w:t xml:space="preserve"> </w:t>
      </w:r>
    </w:p>
    <w:p w:rsidR="001E1D37" w:rsidRDefault="001E1D37" w:rsidP="001E1D37">
      <w:pPr>
        <w:tabs>
          <w:tab w:val="left" w:pos="1259"/>
        </w:tabs>
        <w:spacing w:after="0" w:line="240" w:lineRule="auto"/>
        <w:jc w:val="both"/>
        <w:rPr>
          <w:rFonts w:cstheme="minorHAnsi"/>
          <w:b/>
          <w:bCs/>
          <w:iCs/>
        </w:rPr>
      </w:pPr>
    </w:p>
    <w:p w:rsidR="00BB1DE0" w:rsidRDefault="00BB1DE0" w:rsidP="00BB1DE0">
      <w:pPr>
        <w:tabs>
          <w:tab w:val="left" w:pos="1259"/>
        </w:tabs>
        <w:spacing w:after="0" w:line="240" w:lineRule="auto"/>
        <w:jc w:val="center"/>
        <w:rPr>
          <w:rFonts w:cstheme="minorHAnsi"/>
          <w:b/>
          <w:bCs/>
          <w:iCs/>
        </w:rPr>
      </w:pPr>
      <w:r>
        <w:rPr>
          <w:rFonts w:cs="Calibri"/>
          <w:noProof/>
          <w:lang w:eastAsia="fr-FR"/>
        </w:rPr>
        <w:drawing>
          <wp:inline distT="0" distB="0" distL="0" distR="0">
            <wp:extent cx="4905375" cy="2895600"/>
            <wp:effectExtent l="19050" t="0" r="9525" b="0"/>
            <wp:docPr id="18" name="Obje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1DE0" w:rsidRDefault="00BB1DE0" w:rsidP="001E1D37">
      <w:pPr>
        <w:tabs>
          <w:tab w:val="left" w:pos="1259"/>
        </w:tabs>
        <w:spacing w:after="0" w:line="240" w:lineRule="auto"/>
        <w:jc w:val="both"/>
        <w:rPr>
          <w:rFonts w:cstheme="minorHAnsi"/>
          <w:b/>
          <w:bCs/>
          <w:iCs/>
        </w:rPr>
      </w:pPr>
    </w:p>
    <w:p w:rsidR="00BB1DE0" w:rsidRDefault="00BB1DE0" w:rsidP="001E1D37">
      <w:pPr>
        <w:tabs>
          <w:tab w:val="left" w:pos="1259"/>
        </w:tabs>
        <w:spacing w:after="0" w:line="240" w:lineRule="auto"/>
        <w:jc w:val="both"/>
        <w:rPr>
          <w:rFonts w:cstheme="minorHAnsi"/>
          <w:b/>
          <w:bCs/>
          <w:iCs/>
        </w:rPr>
      </w:pPr>
    </w:p>
    <w:p w:rsidR="00854285" w:rsidRDefault="00854285" w:rsidP="006C1D39">
      <w:pPr>
        <w:spacing w:after="0" w:line="240" w:lineRule="auto"/>
        <w:jc w:val="both"/>
        <w:rPr>
          <w:rFonts w:cstheme="minorHAnsi"/>
          <w:bCs/>
          <w:iCs/>
        </w:rPr>
      </w:pPr>
    </w:p>
    <w:p w:rsidR="00854285" w:rsidRDefault="00854285" w:rsidP="006C1D39">
      <w:pPr>
        <w:spacing w:after="0" w:line="240" w:lineRule="auto"/>
        <w:jc w:val="both"/>
        <w:rPr>
          <w:rFonts w:cstheme="minorHAnsi"/>
          <w:bCs/>
          <w:iCs/>
        </w:rPr>
      </w:pPr>
    </w:p>
    <w:p w:rsidR="00D9570B" w:rsidRDefault="00D9570B" w:rsidP="006C1D39">
      <w:pPr>
        <w:spacing w:after="0" w:line="240" w:lineRule="auto"/>
        <w:jc w:val="both"/>
        <w:rPr>
          <w:rFonts w:cstheme="minorHAnsi"/>
          <w:bCs/>
          <w:iCs/>
        </w:rPr>
      </w:pPr>
    </w:p>
    <w:p w:rsidR="00D9570B" w:rsidRDefault="00D9570B" w:rsidP="00D9570B">
      <w:pPr>
        <w:pStyle w:val="Default"/>
        <w:jc w:val="both"/>
        <w:rPr>
          <w:rFonts w:cstheme="minorHAnsi"/>
          <w:color w:val="auto"/>
          <w:sz w:val="22"/>
          <w:szCs w:val="22"/>
        </w:rPr>
      </w:pPr>
    </w:p>
    <w:p w:rsidR="00D9570B" w:rsidRDefault="00D9570B" w:rsidP="00D9570B">
      <w:pPr>
        <w:pStyle w:val="Default"/>
        <w:jc w:val="both"/>
        <w:rPr>
          <w:rFonts w:cstheme="minorHAnsi"/>
          <w:color w:val="auto"/>
          <w:sz w:val="22"/>
          <w:szCs w:val="22"/>
        </w:rPr>
      </w:pPr>
      <w:r>
        <w:rPr>
          <w:rFonts w:cstheme="minorHAnsi"/>
          <w:color w:val="auto"/>
          <w:sz w:val="22"/>
          <w:szCs w:val="22"/>
        </w:rPr>
        <w:t>Les</w:t>
      </w:r>
      <w:r w:rsidRPr="006A7C23">
        <w:rPr>
          <w:rFonts w:cstheme="minorHAnsi"/>
          <w:color w:val="auto"/>
          <w:sz w:val="22"/>
          <w:szCs w:val="22"/>
        </w:rPr>
        <w:t xml:space="preserve"> entretiens indiquent une attente forte des familles vis‐à‐vis de l’école. Pour 26% des parents de notre échantillon</w:t>
      </w:r>
      <w:r>
        <w:rPr>
          <w:rFonts w:cstheme="minorHAnsi"/>
          <w:color w:val="auto"/>
          <w:sz w:val="22"/>
          <w:szCs w:val="22"/>
        </w:rPr>
        <w:t>,</w:t>
      </w:r>
      <w:r w:rsidRPr="006A7C23">
        <w:rPr>
          <w:rFonts w:cstheme="minorHAnsi"/>
          <w:color w:val="auto"/>
          <w:sz w:val="22"/>
          <w:szCs w:val="22"/>
        </w:rPr>
        <w:t xml:space="preserve"> l’école assure</w:t>
      </w:r>
      <w:r>
        <w:rPr>
          <w:rFonts w:cstheme="minorHAnsi"/>
          <w:color w:val="auto"/>
          <w:sz w:val="22"/>
          <w:szCs w:val="22"/>
        </w:rPr>
        <w:t xml:space="preserve"> la fonction de promotion sociale</w:t>
      </w:r>
      <w:r w:rsidRPr="006A7C23">
        <w:rPr>
          <w:rFonts w:cstheme="minorHAnsi"/>
          <w:color w:val="auto"/>
          <w:sz w:val="22"/>
          <w:szCs w:val="22"/>
        </w:rPr>
        <w:t xml:space="preserve">, pour 25% elle donne une formation pour </w:t>
      </w:r>
      <w:r w:rsidRPr="0048305B">
        <w:rPr>
          <w:rFonts w:cstheme="minorHAnsi"/>
          <w:color w:val="auto"/>
          <w:sz w:val="22"/>
          <w:szCs w:val="22"/>
        </w:rPr>
        <w:t>réaliser</w:t>
      </w:r>
      <w:r w:rsidRPr="006A7C23">
        <w:rPr>
          <w:rFonts w:cstheme="minorHAnsi"/>
          <w:color w:val="auto"/>
          <w:sz w:val="22"/>
          <w:szCs w:val="22"/>
        </w:rPr>
        <w:t xml:space="preserve"> un projet professionnel et pour 18% l’écol</w:t>
      </w:r>
      <w:r>
        <w:rPr>
          <w:rFonts w:cstheme="minorHAnsi"/>
          <w:color w:val="auto"/>
          <w:sz w:val="22"/>
          <w:szCs w:val="22"/>
        </w:rPr>
        <w:t>e permet d’avoir un métier</w:t>
      </w:r>
      <w:r w:rsidRPr="006A7C23">
        <w:rPr>
          <w:rFonts w:cstheme="minorHAnsi"/>
          <w:color w:val="auto"/>
          <w:sz w:val="22"/>
          <w:szCs w:val="22"/>
        </w:rPr>
        <w:t>.</w:t>
      </w:r>
    </w:p>
    <w:p w:rsidR="00D9570B" w:rsidRDefault="00D9570B" w:rsidP="006C1D39">
      <w:pPr>
        <w:spacing w:after="0" w:line="240" w:lineRule="auto"/>
        <w:jc w:val="both"/>
        <w:rPr>
          <w:rFonts w:cstheme="minorHAnsi"/>
          <w:bCs/>
          <w:iCs/>
        </w:rPr>
      </w:pPr>
    </w:p>
    <w:p w:rsidR="00CA4695" w:rsidRDefault="0036143F" w:rsidP="006C1D39">
      <w:pPr>
        <w:spacing w:after="0" w:line="240" w:lineRule="auto"/>
        <w:jc w:val="both"/>
        <w:rPr>
          <w:rFonts w:cstheme="minorHAnsi"/>
          <w:bCs/>
          <w:iCs/>
        </w:rPr>
      </w:pPr>
      <w:r w:rsidRPr="0036143F">
        <w:rPr>
          <w:rFonts w:cstheme="minorHAnsi"/>
          <w:bCs/>
          <w:iCs/>
        </w:rPr>
        <w:lastRenderedPageBreak/>
        <w:t>Cette recherche-action</w:t>
      </w:r>
      <w:r w:rsidR="00532B10" w:rsidRPr="0036143F">
        <w:rPr>
          <w:rFonts w:cstheme="minorHAnsi"/>
          <w:bCs/>
          <w:iCs/>
        </w:rPr>
        <w:t xml:space="preserve"> confirme également le rôle joué par les familles dans leur rapport à l’école et leur implication d</w:t>
      </w:r>
      <w:r w:rsidR="00395399">
        <w:rPr>
          <w:rFonts w:cstheme="minorHAnsi"/>
          <w:bCs/>
          <w:iCs/>
        </w:rPr>
        <w:t xml:space="preserve">ans le travail de leurs enfants. Elle contredit </w:t>
      </w:r>
      <w:r w:rsidR="00532B10" w:rsidRPr="0036143F">
        <w:rPr>
          <w:rFonts w:cstheme="minorHAnsi"/>
          <w:bCs/>
          <w:iCs/>
        </w:rPr>
        <w:t xml:space="preserve"> l’idée assez commune que les familles</w:t>
      </w:r>
      <w:r w:rsidR="005B4D43">
        <w:rPr>
          <w:rFonts w:cstheme="minorHAnsi"/>
          <w:bCs/>
          <w:iCs/>
        </w:rPr>
        <w:t xml:space="preserve"> </w:t>
      </w:r>
      <w:r w:rsidR="00532B10" w:rsidRPr="0036143F">
        <w:rPr>
          <w:rFonts w:cstheme="minorHAnsi"/>
          <w:bCs/>
          <w:iCs/>
        </w:rPr>
        <w:t xml:space="preserve"> se d</w:t>
      </w:r>
      <w:r w:rsidR="005774D8" w:rsidRPr="0036143F">
        <w:rPr>
          <w:rFonts w:cstheme="minorHAnsi"/>
          <w:bCs/>
          <w:iCs/>
        </w:rPr>
        <w:t>ésinté</w:t>
      </w:r>
      <w:r w:rsidR="00532B10" w:rsidRPr="0036143F">
        <w:rPr>
          <w:rFonts w:cstheme="minorHAnsi"/>
          <w:bCs/>
          <w:iCs/>
        </w:rPr>
        <w:t xml:space="preserve">ressent de la scolarité </w:t>
      </w:r>
      <w:r w:rsidR="00CC5DB6" w:rsidRPr="0036143F">
        <w:rPr>
          <w:rFonts w:cstheme="minorHAnsi"/>
          <w:bCs/>
          <w:iCs/>
        </w:rPr>
        <w:t>des</w:t>
      </w:r>
      <w:r w:rsidR="00395399">
        <w:rPr>
          <w:rFonts w:cstheme="minorHAnsi"/>
          <w:bCs/>
          <w:iCs/>
        </w:rPr>
        <w:t xml:space="preserve"> enfants et </w:t>
      </w:r>
      <w:r w:rsidR="00532B10" w:rsidRPr="0036143F">
        <w:rPr>
          <w:rFonts w:cstheme="minorHAnsi"/>
          <w:bCs/>
          <w:iCs/>
        </w:rPr>
        <w:t xml:space="preserve"> que les pères</w:t>
      </w:r>
      <w:r w:rsidR="00CC5DB6" w:rsidRPr="0036143F">
        <w:rPr>
          <w:rFonts w:cstheme="minorHAnsi"/>
          <w:bCs/>
          <w:iCs/>
        </w:rPr>
        <w:t xml:space="preserve"> </w:t>
      </w:r>
      <w:r w:rsidR="00532B10" w:rsidRPr="0036143F">
        <w:rPr>
          <w:rFonts w:cstheme="minorHAnsi"/>
          <w:bCs/>
          <w:iCs/>
        </w:rPr>
        <w:t xml:space="preserve">sont absents. </w:t>
      </w:r>
    </w:p>
    <w:p w:rsidR="00854285" w:rsidRDefault="00854285" w:rsidP="006C1D39">
      <w:pPr>
        <w:spacing w:after="0" w:line="240" w:lineRule="auto"/>
        <w:jc w:val="both"/>
        <w:rPr>
          <w:rFonts w:cstheme="minorHAnsi"/>
          <w:bCs/>
          <w:iCs/>
        </w:rPr>
      </w:pPr>
    </w:p>
    <w:p w:rsidR="00854285" w:rsidRDefault="00854285" w:rsidP="006C1D39">
      <w:pPr>
        <w:spacing w:after="0" w:line="240" w:lineRule="auto"/>
        <w:jc w:val="both"/>
        <w:rPr>
          <w:rFonts w:cstheme="minorHAnsi"/>
          <w:bCs/>
          <w:iCs/>
        </w:rPr>
      </w:pPr>
    </w:p>
    <w:p w:rsidR="00BB1DE0" w:rsidRDefault="00BB1DE0" w:rsidP="006C1D39">
      <w:pPr>
        <w:spacing w:after="0" w:line="240" w:lineRule="auto"/>
        <w:jc w:val="both"/>
        <w:rPr>
          <w:rFonts w:cstheme="minorHAnsi"/>
          <w:bCs/>
          <w:iCs/>
        </w:rPr>
      </w:pPr>
    </w:p>
    <w:p w:rsidR="00310F74" w:rsidRDefault="00310F74" w:rsidP="006C1D39">
      <w:pPr>
        <w:spacing w:after="0" w:line="240" w:lineRule="auto"/>
        <w:jc w:val="both"/>
        <w:rPr>
          <w:rFonts w:cstheme="minorHAnsi"/>
          <w:bCs/>
          <w:iCs/>
        </w:rPr>
      </w:pPr>
    </w:p>
    <w:p w:rsidR="00BB1DE0" w:rsidRDefault="00BB1DE0" w:rsidP="00BB1DE0">
      <w:pPr>
        <w:spacing w:after="0" w:line="240" w:lineRule="auto"/>
        <w:jc w:val="center"/>
        <w:rPr>
          <w:rFonts w:cstheme="minorHAnsi"/>
          <w:bCs/>
          <w:iCs/>
        </w:rPr>
      </w:pPr>
      <w:r>
        <w:rPr>
          <w:noProof/>
          <w:lang w:eastAsia="fr-FR"/>
        </w:rPr>
        <w:drawing>
          <wp:inline distT="0" distB="0" distL="0" distR="0">
            <wp:extent cx="5505450" cy="2724150"/>
            <wp:effectExtent l="19050" t="0" r="19050" b="0"/>
            <wp:docPr id="21" name="Obje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1DE0" w:rsidRDefault="00BB1DE0" w:rsidP="006C1D39">
      <w:pPr>
        <w:spacing w:after="0" w:line="240" w:lineRule="auto"/>
        <w:jc w:val="both"/>
        <w:rPr>
          <w:rFonts w:cstheme="minorHAnsi"/>
          <w:bCs/>
          <w:iCs/>
        </w:rPr>
      </w:pPr>
    </w:p>
    <w:p w:rsidR="00BB1DE0" w:rsidRDefault="00BB1DE0" w:rsidP="006C1D39">
      <w:pPr>
        <w:spacing w:after="0" w:line="240" w:lineRule="auto"/>
        <w:jc w:val="both"/>
        <w:rPr>
          <w:rFonts w:cstheme="minorHAnsi"/>
          <w:bCs/>
          <w:iCs/>
        </w:rPr>
      </w:pPr>
    </w:p>
    <w:p w:rsidR="00BB1DE0" w:rsidRDefault="00BB1DE0" w:rsidP="006C1D39">
      <w:pPr>
        <w:spacing w:after="0" w:line="240" w:lineRule="auto"/>
        <w:jc w:val="both"/>
        <w:rPr>
          <w:rFonts w:cstheme="minorHAnsi"/>
          <w:bCs/>
          <w:iCs/>
        </w:rPr>
      </w:pPr>
    </w:p>
    <w:p w:rsidR="00BB1DE0" w:rsidRDefault="00BB1DE0" w:rsidP="006C1D39">
      <w:pPr>
        <w:spacing w:after="0" w:line="240" w:lineRule="auto"/>
        <w:jc w:val="both"/>
        <w:rPr>
          <w:rFonts w:cstheme="minorHAnsi"/>
          <w:bCs/>
          <w:iCs/>
        </w:rPr>
      </w:pPr>
    </w:p>
    <w:p w:rsidR="00BB1DE0" w:rsidRPr="00854285" w:rsidRDefault="002B0BC8" w:rsidP="006C1D39">
      <w:pPr>
        <w:spacing w:after="0" w:line="240" w:lineRule="auto"/>
        <w:jc w:val="both"/>
        <w:rPr>
          <w:rFonts w:cstheme="minorHAnsi"/>
          <w:bCs/>
          <w:iCs/>
        </w:rPr>
      </w:pPr>
      <w:r w:rsidRPr="00854285">
        <w:t>Elle  indique  également que les stratégies familiales, l’appropriation (ou non) des dispositifs existants, le recours aux associations, sont des facteurs tout aussi déterminants (projet pour l’enfant, valeurs, perception de l’école, rapport au savoir, projet personnel et professionnel).</w:t>
      </w:r>
    </w:p>
    <w:p w:rsidR="00DF3932" w:rsidRPr="002B0BC8" w:rsidRDefault="00DF3932" w:rsidP="00D4520A">
      <w:pPr>
        <w:pStyle w:val="Sansinterligne"/>
        <w:rPr>
          <w:b/>
        </w:rPr>
      </w:pPr>
    </w:p>
    <w:p w:rsidR="00DF3932" w:rsidRDefault="00DF3932" w:rsidP="00D4520A">
      <w:pPr>
        <w:pStyle w:val="Sansinterligne"/>
        <w:rPr>
          <w:b/>
        </w:rPr>
      </w:pPr>
    </w:p>
    <w:p w:rsidR="00D4520A" w:rsidRPr="005B4D43" w:rsidRDefault="00325453" w:rsidP="00D4520A">
      <w:pPr>
        <w:pStyle w:val="Sansinterligne"/>
        <w:rPr>
          <w:b/>
          <w:sz w:val="24"/>
          <w:szCs w:val="24"/>
        </w:rPr>
      </w:pPr>
      <w:r>
        <w:rPr>
          <w:b/>
          <w:sz w:val="24"/>
          <w:szCs w:val="24"/>
        </w:rPr>
        <w:t xml:space="preserve">3.2) </w:t>
      </w:r>
      <w:r w:rsidR="00DC04D1" w:rsidRPr="005B4D43">
        <w:rPr>
          <w:b/>
          <w:sz w:val="24"/>
          <w:szCs w:val="24"/>
        </w:rPr>
        <w:t>Projet personnel et professionnel</w:t>
      </w:r>
    </w:p>
    <w:p w:rsidR="00366CD0" w:rsidRPr="00D4520A" w:rsidRDefault="00366CD0" w:rsidP="00D4520A">
      <w:pPr>
        <w:autoSpaceDE w:val="0"/>
        <w:autoSpaceDN w:val="0"/>
        <w:adjustRightInd w:val="0"/>
        <w:spacing w:line="240" w:lineRule="auto"/>
        <w:jc w:val="both"/>
        <w:rPr>
          <w:rFonts w:cstheme="minorHAnsi"/>
          <w:b/>
          <w:bCs/>
          <w:iCs/>
          <w:sz w:val="24"/>
          <w:szCs w:val="24"/>
        </w:rPr>
      </w:pPr>
      <w:r w:rsidRPr="006A7C23">
        <w:rPr>
          <w:rFonts w:cstheme="minorHAnsi"/>
        </w:rPr>
        <w:t>Le niveau d’aspiration est un facteur important pour la construction d’un projet perso</w:t>
      </w:r>
      <w:r w:rsidR="00854285">
        <w:rPr>
          <w:rFonts w:cstheme="minorHAnsi"/>
        </w:rPr>
        <w:t xml:space="preserve">nnel et /ou professionnel, </w:t>
      </w:r>
      <w:r w:rsidRPr="006A7C23">
        <w:rPr>
          <w:rFonts w:cstheme="minorHAnsi"/>
        </w:rPr>
        <w:t>il a également une incidence sur la ré</w:t>
      </w:r>
      <w:r w:rsidR="009D7D91" w:rsidRPr="006A7C23">
        <w:rPr>
          <w:rFonts w:cstheme="minorHAnsi"/>
        </w:rPr>
        <w:t xml:space="preserve">ussite ou l’échec scolaire. </w:t>
      </w:r>
      <w:r w:rsidR="00854285">
        <w:rPr>
          <w:rFonts w:cstheme="minorHAnsi"/>
        </w:rPr>
        <w:t xml:space="preserve">Un  niveau d’aspiration élevé </w:t>
      </w:r>
      <w:r w:rsidRPr="006A7C23">
        <w:rPr>
          <w:rFonts w:cstheme="minorHAnsi"/>
        </w:rPr>
        <w:t xml:space="preserve">renforce la confiance de l’élève en ses propres capacités, ce qui est susceptible de l’aider à se projeter dans l’avenir, et ce d'autant plus que ses parents ont de l'ambition pour lui. Le niveau </w:t>
      </w:r>
      <w:r w:rsidR="00854285">
        <w:rPr>
          <w:rFonts w:cstheme="minorHAnsi"/>
        </w:rPr>
        <w:t xml:space="preserve">d’aspiration de l’enfant </w:t>
      </w:r>
      <w:r w:rsidRPr="006A7C23">
        <w:rPr>
          <w:rFonts w:cstheme="minorHAnsi"/>
        </w:rPr>
        <w:t xml:space="preserve"> varie selon des caractéristiques propres à chaque enfant (sa curiosité, son goût de l’effort, sa capacité d’autono</w:t>
      </w:r>
      <w:r w:rsidR="00854285">
        <w:rPr>
          <w:rFonts w:cstheme="minorHAnsi"/>
        </w:rPr>
        <w:t>mie) et dépend,</w:t>
      </w:r>
      <w:r w:rsidRPr="006A7C23">
        <w:rPr>
          <w:rFonts w:cstheme="minorHAnsi"/>
        </w:rPr>
        <w:t xml:space="preserve"> dans notre échantillon, du modèle de socialisation. Celui‐ci peut valoriser le travail scolaire (avec son cortège de codes et de règles à respecter) et conduire à terme, à la réussite scolaire, ou bien favoriser l’intégration dans un groupe de pairs et encourager le rejet collectif des règles institutionnelles, voire le refus de l’é</w:t>
      </w:r>
      <w:r w:rsidR="00854285">
        <w:rPr>
          <w:rFonts w:cstheme="minorHAnsi"/>
        </w:rPr>
        <w:t>cole (</w:t>
      </w:r>
      <w:r w:rsidR="00722244">
        <w:rPr>
          <w:rFonts w:cstheme="minorHAnsi"/>
        </w:rPr>
        <w:t>cf.</w:t>
      </w:r>
      <w:r w:rsidR="00854285">
        <w:rPr>
          <w:rFonts w:cstheme="minorHAnsi"/>
        </w:rPr>
        <w:t xml:space="preserve"> la</w:t>
      </w:r>
      <w:r w:rsidR="00106BE0" w:rsidRPr="00106BE0">
        <w:rPr>
          <w:rFonts w:cstheme="minorHAnsi"/>
        </w:rPr>
        <w:t xml:space="preserve"> typologie élaborée à partir des entretiens avec les élèves</w:t>
      </w:r>
      <w:r w:rsidR="00F52EE1">
        <w:rPr>
          <w:rFonts w:cstheme="minorHAnsi"/>
        </w:rPr>
        <w:t>)</w:t>
      </w:r>
      <w:r w:rsidR="00106BE0">
        <w:rPr>
          <w:rFonts w:cstheme="minorHAnsi"/>
        </w:rPr>
        <w:t>.</w:t>
      </w:r>
    </w:p>
    <w:p w:rsidR="00A94820" w:rsidRDefault="00A94820" w:rsidP="0083305D">
      <w:pPr>
        <w:spacing w:line="240" w:lineRule="auto"/>
        <w:jc w:val="both"/>
        <w:rPr>
          <w:rFonts w:cstheme="minorHAnsi"/>
        </w:rPr>
      </w:pPr>
      <w:r w:rsidRPr="006A7C23">
        <w:rPr>
          <w:rFonts w:cstheme="minorHAnsi"/>
        </w:rPr>
        <w:t>La construction du projet d’aveni</w:t>
      </w:r>
      <w:r w:rsidR="004C4885">
        <w:rPr>
          <w:rFonts w:cstheme="minorHAnsi"/>
        </w:rPr>
        <w:t xml:space="preserve">r de l’enfant dépend à la fois </w:t>
      </w:r>
      <w:r w:rsidRPr="006A7C23">
        <w:rPr>
          <w:rFonts w:cstheme="minorHAnsi"/>
        </w:rPr>
        <w:t>de l’implication de</w:t>
      </w:r>
      <w:r w:rsidR="00EB5031">
        <w:rPr>
          <w:rFonts w:cstheme="minorHAnsi"/>
        </w:rPr>
        <w:t xml:space="preserve"> la famille qui y participe</w:t>
      </w:r>
      <w:r w:rsidR="00E663E2">
        <w:rPr>
          <w:rFonts w:cstheme="minorHAnsi"/>
        </w:rPr>
        <w:t xml:space="preserve"> ou </w:t>
      </w:r>
      <w:r w:rsidRPr="006A7C23">
        <w:rPr>
          <w:rFonts w:cstheme="minorHAnsi"/>
        </w:rPr>
        <w:t xml:space="preserve"> parfois y fait obstacle, souvent sa</w:t>
      </w:r>
      <w:r w:rsidR="00E663E2">
        <w:rPr>
          <w:rFonts w:cstheme="minorHAnsi"/>
        </w:rPr>
        <w:t xml:space="preserve">ns même le savoir. Elle dépend aussi </w:t>
      </w:r>
      <w:r w:rsidR="004C4885">
        <w:rPr>
          <w:rFonts w:cstheme="minorHAnsi"/>
        </w:rPr>
        <w:t xml:space="preserve"> </w:t>
      </w:r>
      <w:r w:rsidRPr="006A7C23">
        <w:rPr>
          <w:rFonts w:cstheme="minorHAnsi"/>
        </w:rPr>
        <w:t xml:space="preserve"> du soutien et de l’écoute attentive des professionnels de l’éducation au sein même de l’école. Si ces conditions sont réunies, il reste à accompagner l’enfant de façon à l’aider à identifier son projet, à le communiquer et à trouver les moyens de le réaliser. Le projet de l’élève peut être défini ici comme </w:t>
      </w:r>
      <w:r w:rsidRPr="006A7C23">
        <w:rPr>
          <w:rFonts w:cstheme="minorHAnsi"/>
          <w:i/>
          <w:iCs/>
        </w:rPr>
        <w:t xml:space="preserve">un processus d’orientation qui investit l’ensemble de sa personnalité et à partir duquel il anticipe son action </w:t>
      </w:r>
      <w:r w:rsidRPr="006A7C23">
        <w:rPr>
          <w:rFonts w:cstheme="minorHAnsi"/>
        </w:rPr>
        <w:t>: c’est en comprenant ses aspirations que l’enfant devient capable de mobiliser ses ressources (savoirs, savoir‐faire), et mobiliser ses ressources, c’est les réaliser, savoir ce qu’elles sont en réalité.</w:t>
      </w:r>
      <w:r w:rsidR="00F73697" w:rsidRPr="006A7C23">
        <w:rPr>
          <w:rFonts w:cstheme="minorHAnsi"/>
        </w:rPr>
        <w:t xml:space="preserve"> Nous avons </w:t>
      </w:r>
      <w:r w:rsidR="00750C43">
        <w:rPr>
          <w:rFonts w:cstheme="minorHAnsi"/>
        </w:rPr>
        <w:t>observé dans nos données une forme</w:t>
      </w:r>
      <w:r w:rsidR="00F73697" w:rsidRPr="006A7C23">
        <w:rPr>
          <w:rFonts w:cstheme="minorHAnsi"/>
        </w:rPr>
        <w:t xml:space="preserve"> d’auto sélection</w:t>
      </w:r>
      <w:r w:rsidR="00E663E2">
        <w:rPr>
          <w:rFonts w:cstheme="minorHAnsi"/>
        </w:rPr>
        <w:t>, résultant</w:t>
      </w:r>
      <w:r w:rsidRPr="006A7C23">
        <w:rPr>
          <w:rFonts w:cstheme="minorHAnsi"/>
        </w:rPr>
        <w:t xml:space="preserve"> de dé</w:t>
      </w:r>
      <w:r w:rsidR="00E663E2">
        <w:rPr>
          <w:rFonts w:cstheme="minorHAnsi"/>
        </w:rPr>
        <w:t xml:space="preserve">cisions prises par la famille qui sont </w:t>
      </w:r>
      <w:r w:rsidRPr="006A7C23">
        <w:rPr>
          <w:rFonts w:cstheme="minorHAnsi"/>
        </w:rPr>
        <w:t xml:space="preserve"> fondées sur d’autres critère</w:t>
      </w:r>
      <w:r w:rsidR="00E663E2">
        <w:rPr>
          <w:rFonts w:cstheme="minorHAnsi"/>
        </w:rPr>
        <w:t xml:space="preserve">s que les résultats scolaires. Ainsi, </w:t>
      </w:r>
      <w:r w:rsidRPr="006A7C23">
        <w:rPr>
          <w:rFonts w:cstheme="minorHAnsi"/>
        </w:rPr>
        <w:t xml:space="preserve">l’enfant est </w:t>
      </w:r>
      <w:r w:rsidR="004C4885">
        <w:rPr>
          <w:rFonts w:cstheme="minorHAnsi"/>
        </w:rPr>
        <w:t xml:space="preserve">parfois </w:t>
      </w:r>
      <w:r w:rsidRPr="006A7C23">
        <w:rPr>
          <w:rFonts w:cstheme="minorHAnsi"/>
        </w:rPr>
        <w:lastRenderedPageBreak/>
        <w:t xml:space="preserve">conduit à sortir du système scolaire pour travailler, ou à choisir une filière </w:t>
      </w:r>
      <w:r w:rsidR="004C4885">
        <w:rPr>
          <w:rFonts w:cstheme="minorHAnsi"/>
        </w:rPr>
        <w:t>« </w:t>
      </w:r>
      <w:r w:rsidRPr="006A7C23">
        <w:rPr>
          <w:rFonts w:cstheme="minorHAnsi"/>
        </w:rPr>
        <w:t>moins noble</w:t>
      </w:r>
      <w:r w:rsidR="004C4885">
        <w:rPr>
          <w:rFonts w:cstheme="minorHAnsi"/>
        </w:rPr>
        <w:t> »</w:t>
      </w:r>
      <w:r w:rsidRPr="006A7C23">
        <w:rPr>
          <w:rFonts w:cstheme="minorHAnsi"/>
        </w:rPr>
        <w:t xml:space="preserve">. </w:t>
      </w:r>
      <w:r w:rsidR="00F73697" w:rsidRPr="006A7C23">
        <w:rPr>
          <w:rFonts w:cstheme="minorHAnsi"/>
        </w:rPr>
        <w:t>Ce processus trouve son explication</w:t>
      </w:r>
      <w:r w:rsidRPr="006A7C23">
        <w:rPr>
          <w:rFonts w:cstheme="minorHAnsi"/>
        </w:rPr>
        <w:t xml:space="preserve"> par l’effet d’un habitus de classe, influence de l’héritage culturel</w:t>
      </w:r>
      <w:r w:rsidR="00F73697" w:rsidRPr="006A7C23">
        <w:rPr>
          <w:rFonts w:cstheme="minorHAnsi"/>
        </w:rPr>
        <w:t xml:space="preserve"> </w:t>
      </w:r>
      <w:r w:rsidR="00EB31CB">
        <w:rPr>
          <w:rFonts w:cstheme="minorHAnsi"/>
        </w:rPr>
        <w:t>(BOURDIEU 1980</w:t>
      </w:r>
      <w:r w:rsidR="00F73697" w:rsidRPr="006A7C23">
        <w:rPr>
          <w:rFonts w:cstheme="minorHAnsi"/>
        </w:rPr>
        <w:t>)</w:t>
      </w:r>
      <w:r w:rsidRPr="006A7C23">
        <w:rPr>
          <w:rFonts w:cstheme="minorHAnsi"/>
        </w:rPr>
        <w:t xml:space="preserve">. On voit là l’importance du projet familial des parents, et de l’ambition qu’ils ont pour leur enfant, ambition elle‐même liée au projet migratoire mais également à l’ouverture de la famille sur l’extérieur. </w:t>
      </w:r>
    </w:p>
    <w:p w:rsidR="00A753E1" w:rsidRPr="005B4D43" w:rsidRDefault="00325453" w:rsidP="00A753E1">
      <w:pPr>
        <w:pStyle w:val="Sansinterligne"/>
        <w:jc w:val="both"/>
        <w:rPr>
          <w:b/>
          <w:sz w:val="24"/>
          <w:szCs w:val="24"/>
        </w:rPr>
      </w:pPr>
      <w:r>
        <w:rPr>
          <w:b/>
          <w:sz w:val="24"/>
          <w:szCs w:val="24"/>
        </w:rPr>
        <w:t xml:space="preserve">3.3) </w:t>
      </w:r>
      <w:r w:rsidR="00CC5DB6" w:rsidRPr="005B4D43">
        <w:rPr>
          <w:b/>
          <w:sz w:val="24"/>
          <w:szCs w:val="24"/>
        </w:rPr>
        <w:t>L’</w:t>
      </w:r>
      <w:r w:rsidR="007F4FC7" w:rsidRPr="005B4D43">
        <w:rPr>
          <w:b/>
          <w:sz w:val="24"/>
          <w:szCs w:val="24"/>
        </w:rPr>
        <w:t>o</w:t>
      </w:r>
      <w:r w:rsidR="00CC5DB6" w:rsidRPr="005B4D43">
        <w:rPr>
          <w:b/>
          <w:sz w:val="24"/>
          <w:szCs w:val="24"/>
        </w:rPr>
        <w:t>rientation, lieu de rencontre de malentendu et/ou de confl</w:t>
      </w:r>
      <w:r w:rsidR="007F4FC7" w:rsidRPr="005B4D43">
        <w:rPr>
          <w:b/>
          <w:sz w:val="24"/>
          <w:szCs w:val="24"/>
        </w:rPr>
        <w:t>it entre les fami</w:t>
      </w:r>
      <w:r w:rsidR="00CC5DB6" w:rsidRPr="005B4D43">
        <w:rPr>
          <w:b/>
          <w:sz w:val="24"/>
          <w:szCs w:val="24"/>
        </w:rPr>
        <w:t>lles, les enfants et l’</w:t>
      </w:r>
      <w:r w:rsidR="007F4FC7" w:rsidRPr="005B4D43">
        <w:rPr>
          <w:b/>
          <w:sz w:val="24"/>
          <w:szCs w:val="24"/>
        </w:rPr>
        <w:t>institut</w:t>
      </w:r>
      <w:r w:rsidR="00CC5DB6" w:rsidRPr="005B4D43">
        <w:rPr>
          <w:b/>
          <w:sz w:val="24"/>
          <w:szCs w:val="24"/>
        </w:rPr>
        <w:t>ion</w:t>
      </w:r>
      <w:r w:rsidR="007F4FC7" w:rsidRPr="005B4D43">
        <w:rPr>
          <w:b/>
          <w:sz w:val="24"/>
          <w:szCs w:val="24"/>
        </w:rPr>
        <w:t xml:space="preserve"> scolaire</w:t>
      </w:r>
    </w:p>
    <w:p w:rsidR="00366CD0" w:rsidRPr="00A753E1" w:rsidRDefault="00366CD0" w:rsidP="00A753E1">
      <w:pPr>
        <w:spacing w:line="240" w:lineRule="auto"/>
        <w:jc w:val="both"/>
        <w:rPr>
          <w:rFonts w:cstheme="minorHAnsi"/>
          <w:b/>
          <w:bCs/>
          <w:iCs/>
          <w:sz w:val="24"/>
          <w:szCs w:val="24"/>
        </w:rPr>
      </w:pPr>
      <w:r w:rsidRPr="006A7C23">
        <w:rPr>
          <w:rFonts w:cstheme="minorHAnsi"/>
        </w:rPr>
        <w:t>C’est autour de la question de l’orientation que les acteurs locaux établissent le lien le plus fort entre origine et parcours scolaires. L’orientation se construit au croisement de deux logiques, celle de l’affectation et celle du projet indiv</w:t>
      </w:r>
      <w:r w:rsidR="00D62B4B" w:rsidRPr="006A7C23">
        <w:rPr>
          <w:rFonts w:cstheme="minorHAnsi"/>
        </w:rPr>
        <w:t xml:space="preserve">iduel. </w:t>
      </w:r>
      <w:r w:rsidRPr="006A7C23">
        <w:rPr>
          <w:rFonts w:cstheme="minorHAnsi"/>
        </w:rPr>
        <w:t>Les parents se posent de</w:t>
      </w:r>
      <w:r w:rsidR="000C62DB">
        <w:rPr>
          <w:rFonts w:cstheme="minorHAnsi"/>
        </w:rPr>
        <w:t xml:space="preserve"> plus en plus de questions sur un </w:t>
      </w:r>
      <w:r w:rsidRPr="006A7C23">
        <w:rPr>
          <w:rFonts w:cstheme="minorHAnsi"/>
        </w:rPr>
        <w:t>processus d’orientation qu’ils ne maîtrisent pas. Ce n’est pas toujours</w:t>
      </w:r>
      <w:r w:rsidR="000C62DB">
        <w:rPr>
          <w:rFonts w:cstheme="minorHAnsi"/>
        </w:rPr>
        <w:t xml:space="preserve"> évident surtout lorsque</w:t>
      </w:r>
      <w:r w:rsidRPr="006A7C23">
        <w:rPr>
          <w:rFonts w:cstheme="minorHAnsi"/>
        </w:rPr>
        <w:t xml:space="preserve"> l’élève renc</w:t>
      </w:r>
      <w:r w:rsidR="00D62B4B" w:rsidRPr="006A7C23">
        <w:rPr>
          <w:rFonts w:cstheme="minorHAnsi"/>
        </w:rPr>
        <w:t xml:space="preserve">ontre des difficultés scolaires. </w:t>
      </w:r>
      <w:r w:rsidRPr="006A7C23">
        <w:rPr>
          <w:rFonts w:cstheme="minorHAnsi"/>
        </w:rPr>
        <w:t xml:space="preserve">La difficulté d’associer les parents à l’orientation n’est pas seulement de les faire venir dans l’école, elle est aussi de leur donner des repères. Même les personnes qui ont des compétences de médiation rencontrent des difficultés face à une question particulièrement complexe : </w:t>
      </w:r>
      <w:r w:rsidR="00750C43">
        <w:rPr>
          <w:rFonts w:cstheme="minorHAnsi"/>
        </w:rPr>
        <w:t>q</w:t>
      </w:r>
      <w:r w:rsidRPr="006A7C23">
        <w:rPr>
          <w:rFonts w:cstheme="minorHAnsi"/>
        </w:rPr>
        <w:t xml:space="preserve">uand ils ne sont pas déjà dans une posture de conformité, ayant intériorisé </w:t>
      </w:r>
      <w:r w:rsidR="00434351">
        <w:rPr>
          <w:rFonts w:cstheme="minorHAnsi"/>
        </w:rPr>
        <w:t>d</w:t>
      </w:r>
      <w:r w:rsidRPr="006A7C23">
        <w:rPr>
          <w:rFonts w:cstheme="minorHAnsi"/>
        </w:rPr>
        <w:t>es types d’étude et d</w:t>
      </w:r>
      <w:r w:rsidR="00434351">
        <w:rPr>
          <w:rFonts w:cstheme="minorHAnsi"/>
        </w:rPr>
        <w:t>e métier,</w:t>
      </w:r>
      <w:r w:rsidRPr="006A7C23">
        <w:rPr>
          <w:rFonts w:cstheme="minorHAnsi"/>
        </w:rPr>
        <w:t xml:space="preserve"> les élèves peuvent </w:t>
      </w:r>
      <w:r w:rsidR="00F6293B">
        <w:rPr>
          <w:rFonts w:cstheme="minorHAnsi"/>
        </w:rPr>
        <w:t xml:space="preserve">accepter </w:t>
      </w:r>
      <w:r w:rsidR="00434351">
        <w:rPr>
          <w:rFonts w:cstheme="minorHAnsi"/>
        </w:rPr>
        <w:t xml:space="preserve"> une </w:t>
      </w:r>
      <w:r w:rsidRPr="006A7C23">
        <w:rPr>
          <w:rFonts w:cstheme="minorHAnsi"/>
        </w:rPr>
        <w:t>orientati</w:t>
      </w:r>
      <w:r w:rsidR="00434351">
        <w:rPr>
          <w:rFonts w:cstheme="minorHAnsi"/>
        </w:rPr>
        <w:t xml:space="preserve">on </w:t>
      </w:r>
      <w:r w:rsidRPr="006A7C23">
        <w:rPr>
          <w:rFonts w:cstheme="minorHAnsi"/>
        </w:rPr>
        <w:t xml:space="preserve"> très éloignée de leurs aspirations. Une mauva</w:t>
      </w:r>
      <w:r w:rsidR="00F6293B">
        <w:rPr>
          <w:rFonts w:cstheme="minorHAnsi"/>
        </w:rPr>
        <w:t>ise maîtrise des processus d’</w:t>
      </w:r>
      <w:r w:rsidRPr="006A7C23">
        <w:rPr>
          <w:rFonts w:cstheme="minorHAnsi"/>
        </w:rPr>
        <w:t>orien</w:t>
      </w:r>
      <w:r w:rsidR="000F77D4">
        <w:rPr>
          <w:rFonts w:cstheme="minorHAnsi"/>
        </w:rPr>
        <w:t xml:space="preserve">tation conduit à ce qu’elle </w:t>
      </w:r>
      <w:r w:rsidR="00F34A20">
        <w:rPr>
          <w:rFonts w:cstheme="minorHAnsi"/>
        </w:rPr>
        <w:t>est</w:t>
      </w:r>
      <w:r w:rsidRPr="006A7C23">
        <w:rPr>
          <w:rFonts w:cstheme="minorHAnsi"/>
        </w:rPr>
        <w:t xml:space="preserve"> plus </w:t>
      </w:r>
      <w:r w:rsidR="000F77D4">
        <w:rPr>
          <w:rFonts w:cstheme="minorHAnsi"/>
        </w:rPr>
        <w:t xml:space="preserve">souvent </w:t>
      </w:r>
      <w:r w:rsidRPr="006A7C23">
        <w:rPr>
          <w:rFonts w:cstheme="minorHAnsi"/>
        </w:rPr>
        <w:t>subie que choisie.</w:t>
      </w:r>
    </w:p>
    <w:p w:rsidR="00075967" w:rsidRDefault="00366CD0" w:rsidP="00075967">
      <w:pPr>
        <w:pStyle w:val="Default"/>
        <w:jc w:val="both"/>
        <w:rPr>
          <w:rFonts w:asciiTheme="minorHAnsi" w:hAnsiTheme="minorHAnsi" w:cstheme="minorHAnsi"/>
          <w:color w:val="auto"/>
          <w:sz w:val="22"/>
          <w:szCs w:val="22"/>
        </w:rPr>
      </w:pPr>
      <w:r w:rsidRPr="006A7C23">
        <w:rPr>
          <w:rFonts w:asciiTheme="minorHAnsi" w:hAnsiTheme="minorHAnsi" w:cstheme="minorHAnsi"/>
          <w:color w:val="auto"/>
          <w:sz w:val="22"/>
          <w:szCs w:val="22"/>
        </w:rPr>
        <w:t>Les processus d’ori</w:t>
      </w:r>
      <w:r w:rsidR="001C5B16">
        <w:rPr>
          <w:rFonts w:asciiTheme="minorHAnsi" w:hAnsiTheme="minorHAnsi" w:cstheme="minorHAnsi"/>
          <w:color w:val="auto"/>
          <w:sz w:val="22"/>
          <w:szCs w:val="22"/>
        </w:rPr>
        <w:t>entation semblent donc contribuer à</w:t>
      </w:r>
      <w:r w:rsidRPr="006A7C23">
        <w:rPr>
          <w:rFonts w:asciiTheme="minorHAnsi" w:hAnsiTheme="minorHAnsi" w:cstheme="minorHAnsi"/>
          <w:color w:val="auto"/>
          <w:sz w:val="22"/>
          <w:szCs w:val="22"/>
        </w:rPr>
        <w:t xml:space="preserve"> produire des situations de mises en échec des enfants. </w:t>
      </w:r>
      <w:r w:rsidR="00F6293B">
        <w:rPr>
          <w:rFonts w:asciiTheme="minorHAnsi" w:hAnsiTheme="minorHAnsi" w:cstheme="minorHAnsi"/>
          <w:color w:val="auto"/>
          <w:sz w:val="22"/>
          <w:szCs w:val="22"/>
        </w:rPr>
        <w:t>U</w:t>
      </w:r>
      <w:r w:rsidR="0074454C">
        <w:rPr>
          <w:rFonts w:asciiTheme="minorHAnsi" w:hAnsiTheme="minorHAnsi" w:cstheme="minorHAnsi"/>
          <w:color w:val="auto"/>
          <w:sz w:val="22"/>
          <w:szCs w:val="22"/>
        </w:rPr>
        <w:t xml:space="preserve">ne  logique </w:t>
      </w:r>
      <w:r w:rsidRPr="006A7C23">
        <w:rPr>
          <w:rFonts w:asciiTheme="minorHAnsi" w:hAnsiTheme="minorHAnsi" w:cstheme="minorHAnsi"/>
          <w:color w:val="auto"/>
          <w:sz w:val="22"/>
          <w:szCs w:val="22"/>
        </w:rPr>
        <w:t xml:space="preserve">de passage </w:t>
      </w:r>
      <w:r w:rsidR="0074454C">
        <w:rPr>
          <w:rFonts w:asciiTheme="minorHAnsi" w:hAnsiTheme="minorHAnsi" w:cstheme="minorHAnsi"/>
          <w:color w:val="auto"/>
          <w:sz w:val="22"/>
          <w:szCs w:val="22"/>
        </w:rPr>
        <w:t>en  classe supé</w:t>
      </w:r>
      <w:r w:rsidR="00F6293B">
        <w:rPr>
          <w:rFonts w:asciiTheme="minorHAnsi" w:hAnsiTheme="minorHAnsi" w:cstheme="minorHAnsi"/>
          <w:color w:val="auto"/>
          <w:sz w:val="22"/>
          <w:szCs w:val="22"/>
        </w:rPr>
        <w:t>rieure</w:t>
      </w:r>
      <w:r w:rsidR="0074454C">
        <w:rPr>
          <w:rFonts w:asciiTheme="minorHAnsi" w:hAnsiTheme="minorHAnsi" w:cstheme="minorHAnsi"/>
          <w:color w:val="auto"/>
          <w:sz w:val="22"/>
          <w:szCs w:val="22"/>
        </w:rPr>
        <w:t xml:space="preserve"> peut </w:t>
      </w:r>
      <w:r w:rsidRPr="006A7C23">
        <w:rPr>
          <w:rFonts w:asciiTheme="minorHAnsi" w:hAnsiTheme="minorHAnsi" w:cstheme="minorHAnsi"/>
          <w:color w:val="auto"/>
          <w:sz w:val="22"/>
          <w:szCs w:val="22"/>
        </w:rPr>
        <w:t xml:space="preserve"> conduire </w:t>
      </w:r>
      <w:r w:rsidR="00F6293B">
        <w:rPr>
          <w:rFonts w:asciiTheme="minorHAnsi" w:hAnsiTheme="minorHAnsi" w:cstheme="minorHAnsi"/>
          <w:color w:val="auto"/>
          <w:sz w:val="22"/>
          <w:szCs w:val="22"/>
        </w:rPr>
        <w:t xml:space="preserve">également </w:t>
      </w:r>
      <w:r w:rsidRPr="006A7C23">
        <w:rPr>
          <w:rFonts w:asciiTheme="minorHAnsi" w:hAnsiTheme="minorHAnsi" w:cstheme="minorHAnsi"/>
          <w:color w:val="auto"/>
          <w:sz w:val="22"/>
          <w:szCs w:val="22"/>
        </w:rPr>
        <w:t xml:space="preserve">à des accumulations de retards et </w:t>
      </w:r>
      <w:r w:rsidR="0074454C">
        <w:rPr>
          <w:rFonts w:asciiTheme="minorHAnsi" w:hAnsiTheme="minorHAnsi" w:cstheme="minorHAnsi"/>
          <w:color w:val="auto"/>
          <w:sz w:val="22"/>
          <w:szCs w:val="22"/>
        </w:rPr>
        <w:t xml:space="preserve">à </w:t>
      </w:r>
      <w:r w:rsidRPr="006A7C23">
        <w:rPr>
          <w:rFonts w:asciiTheme="minorHAnsi" w:hAnsiTheme="minorHAnsi" w:cstheme="minorHAnsi"/>
          <w:color w:val="auto"/>
          <w:sz w:val="22"/>
          <w:szCs w:val="22"/>
        </w:rPr>
        <w:t>des sorties précoces du système scolaire. Face à ces situations, les familles immigrées interviennent de plus en plus dans la construction du projet scolaire de l’enfant et sur ses choix professionnels. Elles mettent également en place</w:t>
      </w:r>
      <w:r w:rsidR="0074454C">
        <w:rPr>
          <w:rFonts w:asciiTheme="minorHAnsi" w:hAnsiTheme="minorHAnsi" w:cstheme="minorHAnsi"/>
          <w:color w:val="auto"/>
          <w:sz w:val="22"/>
          <w:szCs w:val="22"/>
        </w:rPr>
        <w:t>, comme toutes les familles,</w:t>
      </w:r>
      <w:r w:rsidRPr="006A7C23">
        <w:rPr>
          <w:rFonts w:asciiTheme="minorHAnsi" w:hAnsiTheme="minorHAnsi" w:cstheme="minorHAnsi"/>
          <w:color w:val="auto"/>
          <w:sz w:val="22"/>
          <w:szCs w:val="22"/>
        </w:rPr>
        <w:t xml:space="preserve"> des stratégies quant au choix des établisse</w:t>
      </w:r>
      <w:r w:rsidR="0074454C">
        <w:rPr>
          <w:rFonts w:asciiTheme="minorHAnsi" w:hAnsiTheme="minorHAnsi" w:cstheme="minorHAnsi"/>
          <w:color w:val="auto"/>
          <w:sz w:val="22"/>
          <w:szCs w:val="22"/>
        </w:rPr>
        <w:t>ments, avec</w:t>
      </w:r>
      <w:r w:rsidRPr="006A7C23">
        <w:rPr>
          <w:rFonts w:asciiTheme="minorHAnsi" w:hAnsiTheme="minorHAnsi" w:cstheme="minorHAnsi"/>
          <w:color w:val="auto"/>
          <w:sz w:val="22"/>
          <w:szCs w:val="22"/>
        </w:rPr>
        <w:t xml:space="preserve"> dérogations à la carte scolaire. Enfin elles </w:t>
      </w:r>
      <w:r w:rsidR="0074454C">
        <w:rPr>
          <w:rFonts w:asciiTheme="minorHAnsi" w:hAnsiTheme="minorHAnsi" w:cstheme="minorHAnsi"/>
          <w:color w:val="auto"/>
          <w:sz w:val="22"/>
          <w:szCs w:val="22"/>
        </w:rPr>
        <w:t xml:space="preserve">participent </w:t>
      </w:r>
      <w:r w:rsidRPr="006A7C23">
        <w:rPr>
          <w:rFonts w:asciiTheme="minorHAnsi" w:hAnsiTheme="minorHAnsi" w:cstheme="minorHAnsi"/>
          <w:color w:val="auto"/>
          <w:sz w:val="22"/>
          <w:szCs w:val="22"/>
        </w:rPr>
        <w:t>au soutien scolaire, soit directement, soit à travers des structures et associations d’accompagnement à la scolarité.</w:t>
      </w:r>
    </w:p>
    <w:p w:rsidR="00075967" w:rsidRDefault="00075967" w:rsidP="00075967">
      <w:pPr>
        <w:pStyle w:val="Default"/>
        <w:jc w:val="both"/>
        <w:rPr>
          <w:rFonts w:asciiTheme="minorHAnsi" w:hAnsiTheme="minorHAnsi" w:cstheme="minorHAnsi"/>
          <w:color w:val="auto"/>
          <w:sz w:val="22"/>
          <w:szCs w:val="22"/>
        </w:rPr>
      </w:pPr>
    </w:p>
    <w:p w:rsidR="001C1BCE" w:rsidRDefault="001C1BCE" w:rsidP="00075967">
      <w:pPr>
        <w:pStyle w:val="Default"/>
        <w:jc w:val="both"/>
        <w:rPr>
          <w:rFonts w:asciiTheme="minorHAnsi" w:hAnsiTheme="minorHAnsi" w:cstheme="minorHAnsi"/>
          <w:color w:val="auto"/>
          <w:sz w:val="22"/>
          <w:szCs w:val="22"/>
        </w:rPr>
      </w:pPr>
    </w:p>
    <w:p w:rsidR="001C1BCE" w:rsidRDefault="001C1BCE" w:rsidP="001C1BCE">
      <w:pPr>
        <w:pStyle w:val="Default"/>
        <w:jc w:val="center"/>
        <w:rPr>
          <w:rFonts w:asciiTheme="minorHAnsi" w:hAnsiTheme="minorHAnsi" w:cstheme="minorHAnsi"/>
          <w:color w:val="auto"/>
          <w:sz w:val="22"/>
          <w:szCs w:val="22"/>
        </w:rPr>
      </w:pPr>
      <w:r>
        <w:rPr>
          <w:rFonts w:eastAsia="Times New Roman"/>
          <w:noProof/>
          <w:lang w:eastAsia="fr-FR"/>
        </w:rPr>
        <w:drawing>
          <wp:inline distT="0" distB="0" distL="0" distR="0">
            <wp:extent cx="5314950" cy="2943225"/>
            <wp:effectExtent l="19050" t="0" r="19050" b="0"/>
            <wp:docPr id="24" name="Obje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C1BCE" w:rsidRDefault="001C1BCE" w:rsidP="00075967">
      <w:pPr>
        <w:pStyle w:val="Default"/>
        <w:jc w:val="both"/>
        <w:rPr>
          <w:rFonts w:asciiTheme="minorHAnsi" w:hAnsiTheme="minorHAnsi" w:cstheme="minorHAnsi"/>
          <w:color w:val="auto"/>
          <w:sz w:val="22"/>
          <w:szCs w:val="22"/>
        </w:rPr>
      </w:pPr>
    </w:p>
    <w:p w:rsidR="001C1BCE" w:rsidRDefault="001C1BCE" w:rsidP="00075967">
      <w:pPr>
        <w:pStyle w:val="Default"/>
        <w:jc w:val="both"/>
        <w:rPr>
          <w:rFonts w:asciiTheme="minorHAnsi" w:hAnsiTheme="minorHAnsi" w:cstheme="minorHAnsi"/>
          <w:color w:val="auto"/>
          <w:sz w:val="22"/>
          <w:szCs w:val="22"/>
        </w:rPr>
      </w:pPr>
    </w:p>
    <w:p w:rsidR="005B4D43" w:rsidRDefault="005B4D43" w:rsidP="00075967">
      <w:pPr>
        <w:pStyle w:val="Default"/>
        <w:jc w:val="both"/>
        <w:rPr>
          <w:b/>
          <w:sz w:val="22"/>
          <w:szCs w:val="22"/>
        </w:rPr>
      </w:pPr>
    </w:p>
    <w:p w:rsidR="005B4D43" w:rsidRDefault="005B4D43" w:rsidP="00075967">
      <w:pPr>
        <w:pStyle w:val="Default"/>
        <w:jc w:val="both"/>
        <w:rPr>
          <w:b/>
        </w:rPr>
      </w:pPr>
    </w:p>
    <w:p w:rsidR="005B4D43" w:rsidRDefault="005B4D43" w:rsidP="00075967">
      <w:pPr>
        <w:pStyle w:val="Default"/>
        <w:jc w:val="both"/>
        <w:rPr>
          <w:b/>
        </w:rPr>
      </w:pPr>
    </w:p>
    <w:p w:rsidR="005B4D43" w:rsidRDefault="005B4D43" w:rsidP="00075967">
      <w:pPr>
        <w:pStyle w:val="Default"/>
        <w:jc w:val="both"/>
        <w:rPr>
          <w:b/>
        </w:rPr>
      </w:pPr>
    </w:p>
    <w:p w:rsidR="00366CD0" w:rsidRPr="005B4D43" w:rsidRDefault="00325453" w:rsidP="00075967">
      <w:pPr>
        <w:pStyle w:val="Default"/>
        <w:jc w:val="both"/>
        <w:rPr>
          <w:rFonts w:asciiTheme="minorHAnsi" w:hAnsiTheme="minorHAnsi" w:cstheme="minorHAnsi"/>
          <w:color w:val="auto"/>
        </w:rPr>
      </w:pPr>
      <w:r>
        <w:rPr>
          <w:b/>
        </w:rPr>
        <w:lastRenderedPageBreak/>
        <w:t xml:space="preserve">3.4) </w:t>
      </w:r>
      <w:r w:rsidR="00366CD0" w:rsidRPr="005B4D43">
        <w:rPr>
          <w:b/>
        </w:rPr>
        <w:t>Enjeux locaux, dynamiques territoriales et associatives</w:t>
      </w:r>
    </w:p>
    <w:p w:rsidR="000E30D1" w:rsidRPr="0016164E" w:rsidRDefault="00C470A0" w:rsidP="00F60A60">
      <w:pPr>
        <w:pStyle w:val="Default"/>
        <w:jc w:val="both"/>
        <w:rPr>
          <w:rFonts w:asciiTheme="minorHAnsi" w:hAnsiTheme="minorHAnsi" w:cstheme="minorHAnsi"/>
          <w:color w:val="1F497D" w:themeColor="text2"/>
          <w:sz w:val="22"/>
          <w:szCs w:val="22"/>
        </w:rPr>
      </w:pPr>
      <w:r w:rsidRPr="006A7C23">
        <w:rPr>
          <w:rFonts w:asciiTheme="minorHAnsi" w:hAnsiTheme="minorHAnsi" w:cstheme="minorHAnsi"/>
          <w:color w:val="auto"/>
          <w:sz w:val="22"/>
          <w:szCs w:val="22"/>
        </w:rPr>
        <w:t>Les configurat</w:t>
      </w:r>
      <w:r w:rsidR="00284D64">
        <w:rPr>
          <w:rFonts w:asciiTheme="minorHAnsi" w:hAnsiTheme="minorHAnsi" w:cstheme="minorHAnsi"/>
          <w:color w:val="auto"/>
          <w:sz w:val="22"/>
          <w:szCs w:val="22"/>
        </w:rPr>
        <w:t xml:space="preserve">ions urbaines sont différentes </w:t>
      </w:r>
      <w:r w:rsidRPr="006A7C23">
        <w:rPr>
          <w:rFonts w:asciiTheme="minorHAnsi" w:hAnsiTheme="minorHAnsi" w:cstheme="minorHAnsi"/>
          <w:color w:val="auto"/>
          <w:sz w:val="22"/>
          <w:szCs w:val="22"/>
        </w:rPr>
        <w:t xml:space="preserve"> </w:t>
      </w:r>
      <w:r w:rsidR="00284D64">
        <w:rPr>
          <w:rFonts w:asciiTheme="minorHAnsi" w:hAnsiTheme="minorHAnsi" w:cstheme="minorHAnsi"/>
          <w:color w:val="auto"/>
          <w:sz w:val="22"/>
          <w:szCs w:val="22"/>
        </w:rPr>
        <w:t xml:space="preserve">aux </w:t>
      </w:r>
      <w:r w:rsidRPr="006A7C23">
        <w:rPr>
          <w:rFonts w:asciiTheme="minorHAnsi" w:hAnsiTheme="minorHAnsi" w:cstheme="minorHAnsi"/>
          <w:color w:val="auto"/>
          <w:sz w:val="22"/>
          <w:szCs w:val="22"/>
        </w:rPr>
        <w:t xml:space="preserve"> Mureaux et </w:t>
      </w:r>
      <w:r w:rsidR="00284D64">
        <w:rPr>
          <w:rFonts w:asciiTheme="minorHAnsi" w:hAnsiTheme="minorHAnsi" w:cstheme="minorHAnsi"/>
          <w:color w:val="auto"/>
          <w:sz w:val="22"/>
          <w:szCs w:val="22"/>
        </w:rPr>
        <w:t xml:space="preserve">à </w:t>
      </w:r>
      <w:r w:rsidRPr="006A7C23">
        <w:rPr>
          <w:rFonts w:asciiTheme="minorHAnsi" w:hAnsiTheme="minorHAnsi" w:cstheme="minorHAnsi"/>
          <w:color w:val="auto"/>
          <w:sz w:val="22"/>
          <w:szCs w:val="22"/>
        </w:rPr>
        <w:t xml:space="preserve">Aubervilliers. Les pratiques des acteurs locaux et les modes de collaboration le sont aussi. Bien que le souhait et la préoccupation du travail en réseau soient manifestes, les pratiques sont plus complexes. La </w:t>
      </w:r>
      <w:r w:rsidR="00284D64">
        <w:rPr>
          <w:rFonts w:asciiTheme="minorHAnsi" w:hAnsiTheme="minorHAnsi" w:cstheme="minorHAnsi"/>
          <w:color w:val="auto"/>
          <w:sz w:val="22"/>
          <w:szCs w:val="22"/>
        </w:rPr>
        <w:t xml:space="preserve"> </w:t>
      </w:r>
      <w:r w:rsidRPr="006A7C23">
        <w:rPr>
          <w:rFonts w:asciiTheme="minorHAnsi" w:hAnsiTheme="minorHAnsi" w:cstheme="minorHAnsi"/>
          <w:color w:val="auto"/>
          <w:sz w:val="22"/>
          <w:szCs w:val="22"/>
        </w:rPr>
        <w:t xml:space="preserve">co‐construction d’un projet éducatif de territoire se heurte à des logiques et processus, soit d’isomorphisme institutionnel, soit de cloisonnements entre divers champs de compétences du travail éducatif et de segmentation de l’action associative. </w:t>
      </w:r>
      <w:r w:rsidR="0016164E" w:rsidRPr="00284D64">
        <w:rPr>
          <w:rFonts w:asciiTheme="minorHAnsi" w:hAnsiTheme="minorHAnsi" w:cstheme="minorHAnsi"/>
          <w:color w:val="auto"/>
          <w:sz w:val="22"/>
          <w:szCs w:val="22"/>
        </w:rPr>
        <w:t>On constate cependant, à travers la recherche/action, une volo</w:t>
      </w:r>
      <w:r w:rsidR="00284D64" w:rsidRPr="00284D64">
        <w:rPr>
          <w:rFonts w:asciiTheme="minorHAnsi" w:hAnsiTheme="minorHAnsi" w:cstheme="minorHAnsi"/>
          <w:color w:val="auto"/>
          <w:sz w:val="22"/>
          <w:szCs w:val="22"/>
        </w:rPr>
        <w:t>nté des acteurs de travailler d</w:t>
      </w:r>
      <w:r w:rsidR="0016164E" w:rsidRPr="00284D64">
        <w:rPr>
          <w:rFonts w:asciiTheme="minorHAnsi" w:hAnsiTheme="minorHAnsi" w:cstheme="minorHAnsi"/>
          <w:color w:val="auto"/>
          <w:sz w:val="22"/>
          <w:szCs w:val="22"/>
        </w:rPr>
        <w:t>avantage en concertation et synergie.</w:t>
      </w:r>
      <w:r w:rsidR="0016164E" w:rsidRPr="0016164E">
        <w:rPr>
          <w:rFonts w:asciiTheme="minorHAnsi" w:hAnsiTheme="minorHAnsi" w:cstheme="minorHAnsi"/>
          <w:color w:val="1F497D" w:themeColor="text2"/>
          <w:sz w:val="22"/>
          <w:szCs w:val="22"/>
        </w:rPr>
        <w:t xml:space="preserve"> </w:t>
      </w:r>
    </w:p>
    <w:p w:rsidR="0068774D" w:rsidRDefault="00C470A0" w:rsidP="00075967">
      <w:pPr>
        <w:pStyle w:val="Default"/>
        <w:jc w:val="both"/>
        <w:rPr>
          <w:rFonts w:asciiTheme="minorHAnsi" w:hAnsiTheme="minorHAnsi" w:cstheme="minorHAnsi"/>
          <w:color w:val="auto"/>
          <w:sz w:val="22"/>
          <w:szCs w:val="22"/>
        </w:rPr>
      </w:pPr>
      <w:r w:rsidRPr="006A7C23">
        <w:rPr>
          <w:rFonts w:asciiTheme="minorHAnsi" w:hAnsiTheme="minorHAnsi" w:cstheme="minorHAnsi"/>
          <w:color w:val="auto"/>
          <w:sz w:val="22"/>
          <w:szCs w:val="22"/>
        </w:rPr>
        <w:t>Bien que constamment décrite</w:t>
      </w:r>
      <w:r w:rsidR="0068774D">
        <w:rPr>
          <w:rFonts w:asciiTheme="minorHAnsi" w:hAnsiTheme="minorHAnsi" w:cstheme="minorHAnsi"/>
          <w:color w:val="auto"/>
          <w:sz w:val="22"/>
          <w:szCs w:val="22"/>
        </w:rPr>
        <w:t>s</w:t>
      </w:r>
      <w:r w:rsidRPr="006A7C23">
        <w:rPr>
          <w:rFonts w:asciiTheme="minorHAnsi" w:hAnsiTheme="minorHAnsi" w:cstheme="minorHAnsi"/>
          <w:color w:val="auto"/>
          <w:sz w:val="22"/>
          <w:szCs w:val="22"/>
        </w:rPr>
        <w:t xml:space="preserve"> comme un facteur essentiel de réussite scolaire, l’implication des familles</w:t>
      </w:r>
      <w:r w:rsidR="0068774D">
        <w:rPr>
          <w:rFonts w:asciiTheme="minorHAnsi" w:hAnsiTheme="minorHAnsi" w:cstheme="minorHAnsi"/>
          <w:color w:val="auto"/>
          <w:sz w:val="22"/>
          <w:szCs w:val="22"/>
        </w:rPr>
        <w:t xml:space="preserve">  et leurs relations   </w:t>
      </w:r>
      <w:r w:rsidR="0068774D" w:rsidRPr="006A7C23">
        <w:rPr>
          <w:rFonts w:asciiTheme="minorHAnsi" w:hAnsiTheme="minorHAnsi" w:cstheme="minorHAnsi"/>
          <w:color w:val="auto"/>
          <w:sz w:val="22"/>
          <w:szCs w:val="22"/>
        </w:rPr>
        <w:t>à l’école</w:t>
      </w:r>
      <w:r w:rsidRPr="006A7C23">
        <w:rPr>
          <w:rFonts w:asciiTheme="minorHAnsi" w:hAnsiTheme="minorHAnsi" w:cstheme="minorHAnsi"/>
          <w:color w:val="auto"/>
          <w:sz w:val="22"/>
          <w:szCs w:val="22"/>
        </w:rPr>
        <w:t xml:space="preserve"> reste</w:t>
      </w:r>
      <w:r w:rsidR="0068774D">
        <w:rPr>
          <w:rFonts w:asciiTheme="minorHAnsi" w:hAnsiTheme="minorHAnsi" w:cstheme="minorHAnsi"/>
          <w:color w:val="auto"/>
          <w:sz w:val="22"/>
          <w:szCs w:val="22"/>
        </w:rPr>
        <w:t>nt</w:t>
      </w:r>
      <w:r w:rsidRPr="006A7C23">
        <w:rPr>
          <w:rFonts w:asciiTheme="minorHAnsi" w:hAnsiTheme="minorHAnsi" w:cstheme="minorHAnsi"/>
          <w:color w:val="auto"/>
          <w:sz w:val="22"/>
          <w:szCs w:val="22"/>
        </w:rPr>
        <w:t xml:space="preserve"> </w:t>
      </w:r>
      <w:r w:rsidR="00FF45A6" w:rsidRPr="006A7C23">
        <w:rPr>
          <w:rFonts w:asciiTheme="minorHAnsi" w:hAnsiTheme="minorHAnsi" w:cstheme="minorHAnsi"/>
          <w:color w:val="auto"/>
          <w:sz w:val="22"/>
          <w:szCs w:val="22"/>
        </w:rPr>
        <w:t>problématique</w:t>
      </w:r>
      <w:r w:rsidR="0068774D">
        <w:rPr>
          <w:rFonts w:asciiTheme="minorHAnsi" w:hAnsiTheme="minorHAnsi" w:cstheme="minorHAnsi"/>
          <w:color w:val="auto"/>
          <w:sz w:val="22"/>
          <w:szCs w:val="22"/>
        </w:rPr>
        <w:t xml:space="preserve">s. </w:t>
      </w:r>
    </w:p>
    <w:p w:rsidR="00075967" w:rsidRDefault="00C470A0" w:rsidP="00075967">
      <w:pPr>
        <w:pStyle w:val="Default"/>
        <w:jc w:val="both"/>
        <w:rPr>
          <w:rFonts w:asciiTheme="minorHAnsi" w:hAnsiTheme="minorHAnsi" w:cstheme="minorHAnsi"/>
          <w:color w:val="auto"/>
          <w:sz w:val="22"/>
          <w:szCs w:val="22"/>
        </w:rPr>
      </w:pPr>
      <w:r w:rsidRPr="006A7C23">
        <w:rPr>
          <w:rFonts w:asciiTheme="minorHAnsi" w:hAnsiTheme="minorHAnsi" w:cstheme="minorHAnsi"/>
          <w:color w:val="auto"/>
          <w:sz w:val="22"/>
          <w:szCs w:val="22"/>
        </w:rPr>
        <w:t>Sur les deux territoires</w:t>
      </w:r>
      <w:r w:rsidR="0068774D">
        <w:rPr>
          <w:rFonts w:asciiTheme="minorHAnsi" w:hAnsiTheme="minorHAnsi" w:cstheme="minorHAnsi"/>
          <w:color w:val="auto"/>
          <w:sz w:val="22"/>
          <w:szCs w:val="22"/>
        </w:rPr>
        <w:t xml:space="preserve"> de l’étude</w:t>
      </w:r>
      <w:r w:rsidRPr="006A7C23">
        <w:rPr>
          <w:rFonts w:asciiTheme="minorHAnsi" w:hAnsiTheme="minorHAnsi" w:cstheme="minorHAnsi"/>
          <w:color w:val="auto"/>
          <w:sz w:val="22"/>
          <w:szCs w:val="22"/>
        </w:rPr>
        <w:t xml:space="preserve">, les limites des dispositifs sont </w:t>
      </w:r>
      <w:r w:rsidR="00E8745D" w:rsidRPr="006A7C23">
        <w:rPr>
          <w:rFonts w:asciiTheme="minorHAnsi" w:hAnsiTheme="minorHAnsi" w:cstheme="minorHAnsi"/>
          <w:color w:val="auto"/>
          <w:sz w:val="22"/>
          <w:szCs w:val="22"/>
        </w:rPr>
        <w:t>signalées.</w:t>
      </w:r>
      <w:r w:rsidR="0068774D">
        <w:rPr>
          <w:rFonts w:asciiTheme="minorHAnsi" w:hAnsiTheme="minorHAnsi" w:cstheme="minorHAnsi"/>
          <w:color w:val="auto"/>
          <w:sz w:val="22"/>
          <w:szCs w:val="22"/>
        </w:rPr>
        <w:t xml:space="preserve"> La nécessité </w:t>
      </w:r>
      <w:r w:rsidRPr="006A7C23">
        <w:rPr>
          <w:rFonts w:asciiTheme="minorHAnsi" w:hAnsiTheme="minorHAnsi" w:cstheme="minorHAnsi"/>
          <w:color w:val="auto"/>
          <w:sz w:val="22"/>
          <w:szCs w:val="22"/>
        </w:rPr>
        <w:t xml:space="preserve"> de médiation et/ou de communication interculturelle sont </w:t>
      </w:r>
      <w:r w:rsidR="0068774D">
        <w:rPr>
          <w:rFonts w:asciiTheme="minorHAnsi" w:hAnsiTheme="minorHAnsi" w:cstheme="minorHAnsi"/>
          <w:color w:val="auto"/>
          <w:sz w:val="22"/>
          <w:szCs w:val="22"/>
        </w:rPr>
        <w:t>soulignés</w:t>
      </w:r>
      <w:r w:rsidRPr="006A7C23">
        <w:rPr>
          <w:rFonts w:asciiTheme="minorHAnsi" w:hAnsiTheme="minorHAnsi" w:cstheme="minorHAnsi"/>
          <w:color w:val="auto"/>
          <w:sz w:val="22"/>
          <w:szCs w:val="22"/>
        </w:rPr>
        <w:t xml:space="preserve"> </w:t>
      </w:r>
      <w:r w:rsidR="0068774D">
        <w:rPr>
          <w:rFonts w:asciiTheme="minorHAnsi" w:hAnsiTheme="minorHAnsi" w:cstheme="minorHAnsi"/>
          <w:color w:val="auto"/>
          <w:sz w:val="22"/>
          <w:szCs w:val="22"/>
        </w:rPr>
        <w:t xml:space="preserve">par les </w:t>
      </w:r>
      <w:r w:rsidRPr="006A7C23">
        <w:rPr>
          <w:rFonts w:asciiTheme="minorHAnsi" w:hAnsiTheme="minorHAnsi" w:cstheme="minorHAnsi"/>
          <w:color w:val="auto"/>
          <w:sz w:val="22"/>
          <w:szCs w:val="22"/>
        </w:rPr>
        <w:t xml:space="preserve"> diff</w:t>
      </w:r>
      <w:r w:rsidR="0068774D">
        <w:rPr>
          <w:rFonts w:asciiTheme="minorHAnsi" w:hAnsiTheme="minorHAnsi" w:cstheme="minorHAnsi"/>
          <w:color w:val="auto"/>
          <w:sz w:val="22"/>
          <w:szCs w:val="22"/>
        </w:rPr>
        <w:t xml:space="preserve">érents  </w:t>
      </w:r>
      <w:r w:rsidR="00284D64">
        <w:rPr>
          <w:rFonts w:asciiTheme="minorHAnsi" w:hAnsiTheme="minorHAnsi" w:cstheme="minorHAnsi"/>
          <w:color w:val="auto"/>
          <w:sz w:val="22"/>
          <w:szCs w:val="22"/>
        </w:rPr>
        <w:t>acteurs</w:t>
      </w:r>
      <w:r w:rsidR="0068774D">
        <w:rPr>
          <w:rFonts w:asciiTheme="minorHAnsi" w:hAnsiTheme="minorHAnsi" w:cstheme="minorHAnsi"/>
          <w:color w:val="auto"/>
          <w:sz w:val="22"/>
          <w:szCs w:val="22"/>
        </w:rPr>
        <w:t xml:space="preserve"> </w:t>
      </w:r>
      <w:r w:rsidR="00CD63DC">
        <w:rPr>
          <w:rFonts w:asciiTheme="minorHAnsi" w:hAnsiTheme="minorHAnsi" w:cstheme="minorHAnsi"/>
          <w:color w:val="auto"/>
          <w:sz w:val="22"/>
          <w:szCs w:val="22"/>
        </w:rPr>
        <w:t>(</w:t>
      </w:r>
      <w:r w:rsidR="0068774D">
        <w:rPr>
          <w:rFonts w:asciiTheme="minorHAnsi" w:hAnsiTheme="minorHAnsi" w:cstheme="minorHAnsi"/>
          <w:color w:val="auto"/>
          <w:sz w:val="22"/>
          <w:szCs w:val="22"/>
        </w:rPr>
        <w:t>professionnels de l’éducation, associations, collectivités locales…)</w:t>
      </w:r>
      <w:r w:rsidR="00CD63DC">
        <w:rPr>
          <w:rFonts w:asciiTheme="minorHAnsi" w:hAnsiTheme="minorHAnsi" w:cstheme="minorHAnsi"/>
          <w:color w:val="auto"/>
          <w:sz w:val="22"/>
          <w:szCs w:val="22"/>
        </w:rPr>
        <w:t>.</w:t>
      </w:r>
      <w:r w:rsidR="00284D64">
        <w:rPr>
          <w:rFonts w:asciiTheme="minorHAnsi" w:hAnsiTheme="minorHAnsi" w:cstheme="minorHAnsi"/>
          <w:color w:val="auto"/>
          <w:sz w:val="22"/>
          <w:szCs w:val="22"/>
        </w:rPr>
        <w:t xml:space="preserve"> </w:t>
      </w:r>
      <w:r w:rsidRPr="006A7C23">
        <w:rPr>
          <w:rFonts w:asciiTheme="minorHAnsi" w:hAnsiTheme="minorHAnsi" w:cstheme="minorHAnsi"/>
          <w:color w:val="auto"/>
          <w:sz w:val="22"/>
          <w:szCs w:val="22"/>
        </w:rPr>
        <w:t xml:space="preserve"> </w:t>
      </w:r>
      <w:r w:rsidR="00CD63DC">
        <w:rPr>
          <w:rFonts w:asciiTheme="minorHAnsi" w:hAnsiTheme="minorHAnsi" w:cstheme="minorHAnsi"/>
          <w:color w:val="auto"/>
          <w:sz w:val="22"/>
          <w:szCs w:val="22"/>
        </w:rPr>
        <w:t>On observe</w:t>
      </w:r>
      <w:r w:rsidR="00EF7260" w:rsidRPr="006A7C23">
        <w:rPr>
          <w:rFonts w:asciiTheme="minorHAnsi" w:hAnsiTheme="minorHAnsi" w:cstheme="minorHAnsi"/>
          <w:color w:val="auto"/>
          <w:sz w:val="22"/>
          <w:szCs w:val="22"/>
        </w:rPr>
        <w:t xml:space="preserve"> une prise de conscience des effets de l’environne</w:t>
      </w:r>
      <w:r w:rsidR="00CD63DC">
        <w:rPr>
          <w:rFonts w:asciiTheme="minorHAnsi" w:hAnsiTheme="minorHAnsi" w:cstheme="minorHAnsi"/>
          <w:color w:val="auto"/>
          <w:sz w:val="22"/>
          <w:szCs w:val="22"/>
        </w:rPr>
        <w:t>ment sur le parcours des jeunes ;</w:t>
      </w:r>
      <w:r w:rsidR="00EF7260" w:rsidRPr="006A7C23">
        <w:rPr>
          <w:rFonts w:asciiTheme="minorHAnsi" w:hAnsiTheme="minorHAnsi" w:cstheme="minorHAnsi"/>
          <w:color w:val="auto"/>
          <w:sz w:val="22"/>
          <w:szCs w:val="22"/>
        </w:rPr>
        <w:t xml:space="preserve"> Les familles essaient d’éviter certains établissements</w:t>
      </w:r>
      <w:r w:rsidR="00FB2369" w:rsidRPr="006A7C23">
        <w:rPr>
          <w:rFonts w:asciiTheme="minorHAnsi" w:hAnsiTheme="minorHAnsi" w:cstheme="minorHAnsi"/>
          <w:b/>
          <w:bCs/>
          <w:color w:val="auto"/>
          <w:sz w:val="22"/>
          <w:szCs w:val="22"/>
        </w:rPr>
        <w:t xml:space="preserve">. </w:t>
      </w:r>
      <w:r w:rsidR="00FB2369" w:rsidRPr="006A7C23">
        <w:rPr>
          <w:rFonts w:asciiTheme="minorHAnsi" w:hAnsiTheme="minorHAnsi" w:cstheme="minorHAnsi"/>
          <w:bCs/>
          <w:color w:val="auto"/>
          <w:sz w:val="22"/>
          <w:szCs w:val="22"/>
        </w:rPr>
        <w:t xml:space="preserve">Ainsi </w:t>
      </w:r>
      <w:r w:rsidR="00E8745D" w:rsidRPr="006A7C23">
        <w:rPr>
          <w:rFonts w:asciiTheme="minorHAnsi" w:hAnsiTheme="minorHAnsi" w:cstheme="minorHAnsi"/>
          <w:bCs/>
          <w:color w:val="auto"/>
          <w:sz w:val="22"/>
          <w:szCs w:val="22"/>
        </w:rPr>
        <w:t>sur notre échantillon de population enquêtée par questionnaire</w:t>
      </w:r>
      <w:r w:rsidR="003D114E" w:rsidRPr="006A7C23">
        <w:rPr>
          <w:rFonts w:asciiTheme="minorHAnsi" w:hAnsiTheme="minorHAnsi" w:cstheme="minorHAnsi"/>
          <w:color w:val="auto"/>
          <w:sz w:val="22"/>
          <w:szCs w:val="22"/>
        </w:rPr>
        <w:t>, près de 38% des familles disent souhaiter un changement d’école. Loin d’être un enjeu seulement p</w:t>
      </w:r>
      <w:r w:rsidR="00284D64">
        <w:rPr>
          <w:rFonts w:asciiTheme="minorHAnsi" w:hAnsiTheme="minorHAnsi" w:cstheme="minorHAnsi"/>
          <w:color w:val="auto"/>
          <w:sz w:val="22"/>
          <w:szCs w:val="22"/>
        </w:rPr>
        <w:t xml:space="preserve">our les familles, </w:t>
      </w:r>
      <w:r w:rsidR="005B4D43">
        <w:rPr>
          <w:rFonts w:asciiTheme="minorHAnsi" w:hAnsiTheme="minorHAnsi" w:cstheme="minorHAnsi"/>
          <w:color w:val="auto"/>
          <w:sz w:val="22"/>
          <w:szCs w:val="22"/>
        </w:rPr>
        <w:t>l’</w:t>
      </w:r>
      <w:r w:rsidR="003D114E" w:rsidRPr="006A7C23">
        <w:rPr>
          <w:rFonts w:asciiTheme="minorHAnsi" w:hAnsiTheme="minorHAnsi" w:cstheme="minorHAnsi"/>
          <w:color w:val="auto"/>
          <w:sz w:val="22"/>
          <w:szCs w:val="22"/>
        </w:rPr>
        <w:t>évitement scolaire l’est aussi pour les acteurs locaux.</w:t>
      </w:r>
    </w:p>
    <w:p w:rsidR="00075967" w:rsidRDefault="00075967" w:rsidP="00075967">
      <w:pPr>
        <w:pStyle w:val="Default"/>
        <w:jc w:val="both"/>
        <w:rPr>
          <w:rFonts w:asciiTheme="minorHAnsi" w:hAnsiTheme="minorHAnsi" w:cstheme="minorHAnsi"/>
          <w:color w:val="auto"/>
          <w:sz w:val="22"/>
          <w:szCs w:val="22"/>
        </w:rPr>
      </w:pPr>
    </w:p>
    <w:p w:rsidR="003A1AA6" w:rsidRPr="005B4D43" w:rsidRDefault="00325453" w:rsidP="00F60A60">
      <w:pPr>
        <w:pStyle w:val="Default"/>
        <w:jc w:val="both"/>
        <w:rPr>
          <w:rFonts w:asciiTheme="minorHAnsi" w:hAnsiTheme="minorHAnsi" w:cstheme="minorHAnsi"/>
          <w:b/>
          <w:bCs/>
          <w:iCs/>
        </w:rPr>
      </w:pPr>
      <w:r>
        <w:rPr>
          <w:rFonts w:asciiTheme="minorHAnsi" w:hAnsiTheme="minorHAnsi" w:cstheme="minorHAnsi"/>
          <w:b/>
          <w:bCs/>
          <w:iCs/>
        </w:rPr>
        <w:t xml:space="preserve">3.5) </w:t>
      </w:r>
      <w:r w:rsidR="0092243D" w:rsidRPr="005B4D43">
        <w:rPr>
          <w:rFonts w:asciiTheme="minorHAnsi" w:hAnsiTheme="minorHAnsi" w:cstheme="minorHAnsi"/>
          <w:b/>
          <w:bCs/>
          <w:iCs/>
        </w:rPr>
        <w:t xml:space="preserve">La communication : un levier de la réussite scolaire </w:t>
      </w:r>
    </w:p>
    <w:p w:rsidR="000E30D1" w:rsidRDefault="0092243D" w:rsidP="00F60A60">
      <w:pPr>
        <w:pStyle w:val="Default"/>
        <w:jc w:val="both"/>
        <w:rPr>
          <w:rFonts w:asciiTheme="minorHAnsi" w:hAnsiTheme="minorHAnsi" w:cstheme="minorHAnsi"/>
          <w:sz w:val="22"/>
          <w:szCs w:val="22"/>
        </w:rPr>
      </w:pPr>
      <w:r w:rsidRPr="000F3109">
        <w:rPr>
          <w:rFonts w:asciiTheme="minorHAnsi" w:hAnsiTheme="minorHAnsi" w:cstheme="minorHAnsi"/>
          <w:sz w:val="22"/>
          <w:szCs w:val="22"/>
        </w:rPr>
        <w:t>Les situations qui nous intéressent ici impliquent des parents, des élèves et des professionnels de l'éducation.</w:t>
      </w:r>
      <w:r w:rsidR="00E8745D" w:rsidRPr="000F3109">
        <w:rPr>
          <w:rFonts w:asciiTheme="minorHAnsi" w:hAnsiTheme="minorHAnsi" w:cstheme="minorHAnsi"/>
          <w:sz w:val="22"/>
          <w:szCs w:val="22"/>
        </w:rPr>
        <w:t xml:space="preserve"> </w:t>
      </w:r>
      <w:r w:rsidR="00D87306" w:rsidRPr="000F3109">
        <w:rPr>
          <w:rFonts w:asciiTheme="minorHAnsi" w:hAnsiTheme="minorHAnsi" w:cstheme="minorHAnsi"/>
          <w:sz w:val="22"/>
          <w:szCs w:val="22"/>
        </w:rPr>
        <w:t>Si les difficultés de communication entre les enseignants et les familles sont bien connues et si l'on essaie d'y remédier par divers dispositifs (</w:t>
      </w:r>
      <w:r w:rsidR="00284D64">
        <w:rPr>
          <w:rFonts w:asciiTheme="minorHAnsi" w:hAnsiTheme="minorHAnsi" w:cstheme="minorHAnsi"/>
          <w:sz w:val="22"/>
          <w:szCs w:val="22"/>
        </w:rPr>
        <w:t xml:space="preserve">de </w:t>
      </w:r>
      <w:r w:rsidR="00D87306" w:rsidRPr="000F3109">
        <w:rPr>
          <w:rFonts w:asciiTheme="minorHAnsi" w:hAnsiTheme="minorHAnsi" w:cstheme="minorHAnsi"/>
          <w:sz w:val="22"/>
          <w:szCs w:val="22"/>
        </w:rPr>
        <w:t>médiation</w:t>
      </w:r>
      <w:r w:rsidR="00300273">
        <w:rPr>
          <w:rFonts w:asciiTheme="minorHAnsi" w:hAnsiTheme="minorHAnsi" w:cstheme="minorHAnsi"/>
          <w:sz w:val="22"/>
          <w:szCs w:val="22"/>
        </w:rPr>
        <w:t xml:space="preserve"> notamment</w:t>
      </w:r>
      <w:r w:rsidR="00D87306" w:rsidRPr="000F3109">
        <w:rPr>
          <w:rFonts w:asciiTheme="minorHAnsi" w:hAnsiTheme="minorHAnsi" w:cstheme="minorHAnsi"/>
          <w:sz w:val="22"/>
          <w:szCs w:val="22"/>
        </w:rPr>
        <w:t>), les dif</w:t>
      </w:r>
      <w:r w:rsidR="000E30D1">
        <w:rPr>
          <w:rFonts w:asciiTheme="minorHAnsi" w:hAnsiTheme="minorHAnsi" w:cstheme="minorHAnsi"/>
          <w:sz w:val="22"/>
          <w:szCs w:val="22"/>
        </w:rPr>
        <w:t>ficultés de communication intra</w:t>
      </w:r>
      <w:r w:rsidR="00D87306" w:rsidRPr="000F3109">
        <w:rPr>
          <w:rFonts w:asciiTheme="minorHAnsi" w:hAnsiTheme="minorHAnsi" w:cstheme="minorHAnsi"/>
          <w:sz w:val="22"/>
          <w:szCs w:val="22"/>
        </w:rPr>
        <w:t>familiale qui sont à l'origine des premières, souvent notées dans les études, sont moins connues ; elles sont pourtant signalées de façon récurrentes tant par les élèves que nous avons interrogés que par nos autres informateurs. Ces difficultés génèrent à leur tour une mauvaise communication entre l'enfant et l'école. Ai</w:t>
      </w:r>
      <w:r w:rsidR="00284D64">
        <w:rPr>
          <w:rFonts w:asciiTheme="minorHAnsi" w:hAnsiTheme="minorHAnsi" w:cstheme="minorHAnsi"/>
          <w:sz w:val="22"/>
          <w:szCs w:val="22"/>
        </w:rPr>
        <w:t xml:space="preserve">nsi l'illettrisme des parents </w:t>
      </w:r>
      <w:proofErr w:type="gramStart"/>
      <w:r w:rsidR="00284D64">
        <w:rPr>
          <w:rFonts w:asciiTheme="minorHAnsi" w:hAnsiTheme="minorHAnsi" w:cstheme="minorHAnsi"/>
          <w:sz w:val="22"/>
          <w:szCs w:val="22"/>
        </w:rPr>
        <w:t>a -</w:t>
      </w:r>
      <w:proofErr w:type="gramEnd"/>
      <w:r w:rsidR="00284D64">
        <w:rPr>
          <w:rFonts w:asciiTheme="minorHAnsi" w:hAnsiTheme="minorHAnsi" w:cstheme="minorHAnsi"/>
          <w:sz w:val="22"/>
          <w:szCs w:val="22"/>
        </w:rPr>
        <w:t>t-</w:t>
      </w:r>
      <w:r w:rsidR="00D87306" w:rsidRPr="000F3109">
        <w:rPr>
          <w:rFonts w:asciiTheme="minorHAnsi" w:hAnsiTheme="minorHAnsi" w:cstheme="minorHAnsi"/>
          <w:sz w:val="22"/>
          <w:szCs w:val="22"/>
        </w:rPr>
        <w:t>il souvent pour effet que les enfants, fuyant la situation où ils seraient confrontés à l'obligation de lire à leurs parents leurs bulletins de notes ou les</w:t>
      </w:r>
      <w:r w:rsidR="000E30D1">
        <w:rPr>
          <w:rFonts w:asciiTheme="minorHAnsi" w:hAnsiTheme="minorHAnsi" w:cstheme="minorHAnsi"/>
          <w:sz w:val="22"/>
          <w:szCs w:val="22"/>
        </w:rPr>
        <w:t xml:space="preserve"> remarques d'un enseignant, cède</w:t>
      </w:r>
      <w:r w:rsidR="00D87306" w:rsidRPr="000F3109">
        <w:rPr>
          <w:rFonts w:asciiTheme="minorHAnsi" w:hAnsiTheme="minorHAnsi" w:cstheme="minorHAnsi"/>
          <w:sz w:val="22"/>
          <w:szCs w:val="22"/>
        </w:rPr>
        <w:t>nt à la tentation de les signer eux‐mêmes.</w:t>
      </w:r>
    </w:p>
    <w:p w:rsidR="003A1AA6" w:rsidRPr="000F3109" w:rsidRDefault="003A1AA6" w:rsidP="00F60A60">
      <w:pPr>
        <w:pStyle w:val="Default"/>
        <w:jc w:val="both"/>
        <w:rPr>
          <w:rFonts w:asciiTheme="minorHAnsi" w:hAnsiTheme="minorHAnsi" w:cstheme="minorHAnsi"/>
          <w:sz w:val="22"/>
          <w:szCs w:val="22"/>
        </w:rPr>
      </w:pPr>
      <w:r w:rsidRPr="000F3109">
        <w:rPr>
          <w:rFonts w:asciiTheme="minorHAnsi" w:hAnsiTheme="minorHAnsi" w:cstheme="minorHAnsi"/>
          <w:sz w:val="22"/>
          <w:szCs w:val="22"/>
        </w:rPr>
        <w:t xml:space="preserve">La communication entre la famille et l'école est, on le sait, difficile. Des parents et un responsable de fédération de migrants expliquent que les parents ont l'impression de n'être convoqués que lorsqu'il y a des problèmes de comportement. </w:t>
      </w:r>
      <w:r w:rsidR="00E8745D" w:rsidRPr="000F3109">
        <w:rPr>
          <w:rFonts w:asciiTheme="minorHAnsi" w:hAnsiTheme="minorHAnsi" w:cstheme="minorHAnsi"/>
          <w:iCs/>
          <w:sz w:val="22"/>
          <w:szCs w:val="22"/>
        </w:rPr>
        <w:t>Le</w:t>
      </w:r>
      <w:r w:rsidRPr="000F3109">
        <w:rPr>
          <w:rFonts w:asciiTheme="minorHAnsi" w:hAnsiTheme="minorHAnsi" w:cstheme="minorHAnsi"/>
          <w:iCs/>
          <w:sz w:val="22"/>
          <w:szCs w:val="22"/>
        </w:rPr>
        <w:t xml:space="preserve"> </w:t>
      </w:r>
      <w:r w:rsidR="00E8745D" w:rsidRPr="000F3109">
        <w:rPr>
          <w:rFonts w:asciiTheme="minorHAnsi" w:hAnsiTheme="minorHAnsi" w:cstheme="minorHAnsi"/>
          <w:iCs/>
          <w:sz w:val="22"/>
          <w:szCs w:val="22"/>
        </w:rPr>
        <w:t>président d’une</w:t>
      </w:r>
      <w:r w:rsidRPr="000F3109">
        <w:rPr>
          <w:rFonts w:asciiTheme="minorHAnsi" w:hAnsiTheme="minorHAnsi" w:cstheme="minorHAnsi"/>
          <w:iCs/>
          <w:sz w:val="22"/>
          <w:szCs w:val="22"/>
        </w:rPr>
        <w:t xml:space="preserve"> fédération de migrants en région parisienne</w:t>
      </w:r>
      <w:r w:rsidRPr="000F3109">
        <w:rPr>
          <w:rFonts w:asciiTheme="minorHAnsi" w:hAnsiTheme="minorHAnsi" w:cstheme="minorHAnsi"/>
          <w:i/>
          <w:iCs/>
          <w:sz w:val="22"/>
          <w:szCs w:val="22"/>
        </w:rPr>
        <w:t xml:space="preserve"> </w:t>
      </w:r>
      <w:r w:rsidRPr="000F3109">
        <w:rPr>
          <w:rFonts w:asciiTheme="minorHAnsi" w:hAnsiTheme="minorHAnsi" w:cstheme="minorHAnsi"/>
          <w:sz w:val="22"/>
          <w:szCs w:val="22"/>
        </w:rPr>
        <w:t>signale un phénomène plus discret et probablement assez étendu dans la pop</w:t>
      </w:r>
      <w:r w:rsidR="00E8745D" w:rsidRPr="000F3109">
        <w:rPr>
          <w:rFonts w:asciiTheme="minorHAnsi" w:hAnsiTheme="minorHAnsi" w:cstheme="minorHAnsi"/>
          <w:sz w:val="22"/>
          <w:szCs w:val="22"/>
        </w:rPr>
        <w:t>ulation concernée par l'étude</w:t>
      </w:r>
      <w:r w:rsidR="00BA0525">
        <w:rPr>
          <w:rFonts w:asciiTheme="minorHAnsi" w:hAnsiTheme="minorHAnsi" w:cstheme="minorHAnsi"/>
          <w:sz w:val="22"/>
          <w:szCs w:val="22"/>
        </w:rPr>
        <w:t> :</w:t>
      </w:r>
      <w:r w:rsidR="00E8745D" w:rsidRPr="000F3109">
        <w:rPr>
          <w:rFonts w:asciiTheme="minorHAnsi" w:hAnsiTheme="minorHAnsi" w:cstheme="minorHAnsi"/>
          <w:sz w:val="22"/>
          <w:szCs w:val="22"/>
        </w:rPr>
        <w:t xml:space="preserve"> lorsque</w:t>
      </w:r>
      <w:r w:rsidRPr="000F3109">
        <w:rPr>
          <w:rFonts w:asciiTheme="minorHAnsi" w:hAnsiTheme="minorHAnsi" w:cstheme="minorHAnsi"/>
          <w:iCs/>
          <w:sz w:val="22"/>
          <w:szCs w:val="22"/>
        </w:rPr>
        <w:t xml:space="preserve"> les parents</w:t>
      </w:r>
      <w:r w:rsidR="008B6138" w:rsidRPr="000F3109">
        <w:rPr>
          <w:rFonts w:asciiTheme="minorHAnsi" w:hAnsiTheme="minorHAnsi" w:cstheme="minorHAnsi"/>
          <w:iCs/>
          <w:sz w:val="22"/>
          <w:szCs w:val="22"/>
        </w:rPr>
        <w:t xml:space="preserve"> sont convoqués, et qu’ils ne comprennent pas ce qui leur est dit, ils</w:t>
      </w:r>
      <w:r w:rsidRPr="000F3109">
        <w:rPr>
          <w:rFonts w:asciiTheme="minorHAnsi" w:hAnsiTheme="minorHAnsi" w:cstheme="minorHAnsi"/>
          <w:iCs/>
          <w:sz w:val="22"/>
          <w:szCs w:val="22"/>
        </w:rPr>
        <w:t xml:space="preserve"> </w:t>
      </w:r>
      <w:r w:rsidR="000E30D1">
        <w:rPr>
          <w:rFonts w:asciiTheme="minorHAnsi" w:hAnsiTheme="minorHAnsi" w:cstheme="minorHAnsi"/>
          <w:iCs/>
          <w:sz w:val="22"/>
          <w:szCs w:val="22"/>
        </w:rPr>
        <w:t>déclarent</w:t>
      </w:r>
      <w:r w:rsidRPr="000F3109">
        <w:rPr>
          <w:rFonts w:asciiTheme="minorHAnsi" w:hAnsiTheme="minorHAnsi" w:cstheme="minorHAnsi"/>
          <w:iCs/>
          <w:sz w:val="22"/>
          <w:szCs w:val="22"/>
        </w:rPr>
        <w:t xml:space="preserve"> </w:t>
      </w:r>
      <w:r w:rsidR="008B6138" w:rsidRPr="000F3109">
        <w:rPr>
          <w:rFonts w:asciiTheme="minorHAnsi" w:hAnsiTheme="minorHAnsi" w:cstheme="minorHAnsi"/>
          <w:iCs/>
          <w:sz w:val="22"/>
          <w:szCs w:val="22"/>
        </w:rPr>
        <w:t>qu’ils ont</w:t>
      </w:r>
      <w:r w:rsidRPr="000F3109">
        <w:rPr>
          <w:rFonts w:asciiTheme="minorHAnsi" w:hAnsiTheme="minorHAnsi" w:cstheme="minorHAnsi"/>
          <w:iCs/>
          <w:sz w:val="22"/>
          <w:szCs w:val="22"/>
        </w:rPr>
        <w:t xml:space="preserve"> compris pour faire plaisir </w:t>
      </w:r>
      <w:r w:rsidR="008B6138" w:rsidRPr="000F3109">
        <w:rPr>
          <w:rFonts w:asciiTheme="minorHAnsi" w:hAnsiTheme="minorHAnsi" w:cstheme="minorHAnsi"/>
          <w:iCs/>
          <w:sz w:val="22"/>
          <w:szCs w:val="22"/>
        </w:rPr>
        <w:t xml:space="preserve">mais </w:t>
      </w:r>
      <w:r w:rsidRPr="000F3109">
        <w:rPr>
          <w:rFonts w:asciiTheme="minorHAnsi" w:hAnsiTheme="minorHAnsi" w:cstheme="minorHAnsi"/>
          <w:iCs/>
          <w:sz w:val="22"/>
          <w:szCs w:val="22"/>
        </w:rPr>
        <w:t>en réalité il</w:t>
      </w:r>
      <w:r w:rsidR="00872B4E">
        <w:rPr>
          <w:rFonts w:asciiTheme="minorHAnsi" w:hAnsiTheme="minorHAnsi" w:cstheme="minorHAnsi"/>
          <w:iCs/>
          <w:sz w:val="22"/>
          <w:szCs w:val="22"/>
        </w:rPr>
        <w:t>s</w:t>
      </w:r>
      <w:r w:rsidRPr="000F3109">
        <w:rPr>
          <w:rFonts w:asciiTheme="minorHAnsi" w:hAnsiTheme="minorHAnsi" w:cstheme="minorHAnsi"/>
          <w:iCs/>
          <w:sz w:val="22"/>
          <w:szCs w:val="22"/>
        </w:rPr>
        <w:t xml:space="preserve"> </w:t>
      </w:r>
      <w:r w:rsidR="008B6138" w:rsidRPr="000F3109">
        <w:rPr>
          <w:rFonts w:asciiTheme="minorHAnsi" w:hAnsiTheme="minorHAnsi" w:cstheme="minorHAnsi"/>
          <w:iCs/>
          <w:sz w:val="22"/>
          <w:szCs w:val="22"/>
        </w:rPr>
        <w:t>n’ont rien saisi</w:t>
      </w:r>
      <w:r w:rsidRPr="000F3109">
        <w:rPr>
          <w:rFonts w:asciiTheme="minorHAnsi" w:hAnsiTheme="minorHAnsi" w:cstheme="minorHAnsi"/>
          <w:iCs/>
          <w:sz w:val="22"/>
          <w:szCs w:val="22"/>
        </w:rPr>
        <w:t xml:space="preserve">. </w:t>
      </w:r>
      <w:r w:rsidR="00284D64">
        <w:rPr>
          <w:rFonts w:asciiTheme="minorHAnsi" w:hAnsiTheme="minorHAnsi" w:cstheme="minorHAnsi"/>
          <w:iCs/>
          <w:sz w:val="22"/>
          <w:szCs w:val="22"/>
        </w:rPr>
        <w:t xml:space="preserve">Un travail </w:t>
      </w:r>
      <w:r w:rsidRPr="000F3109">
        <w:rPr>
          <w:rFonts w:asciiTheme="minorHAnsi" w:hAnsiTheme="minorHAnsi" w:cstheme="minorHAnsi"/>
          <w:iCs/>
          <w:sz w:val="22"/>
          <w:szCs w:val="22"/>
        </w:rPr>
        <w:t>de com</w:t>
      </w:r>
      <w:r w:rsidR="00284D64">
        <w:rPr>
          <w:rFonts w:asciiTheme="minorHAnsi" w:hAnsiTheme="minorHAnsi" w:cstheme="minorHAnsi"/>
          <w:iCs/>
          <w:sz w:val="22"/>
          <w:szCs w:val="22"/>
        </w:rPr>
        <w:t xml:space="preserve">munication, et de compréhension s’impose au moyen </w:t>
      </w:r>
      <w:r w:rsidRPr="000F3109">
        <w:rPr>
          <w:rFonts w:asciiTheme="minorHAnsi" w:hAnsiTheme="minorHAnsi" w:cstheme="minorHAnsi"/>
          <w:sz w:val="22"/>
          <w:szCs w:val="22"/>
        </w:rPr>
        <w:t>d’actions de médiation interculturelle</w:t>
      </w:r>
      <w:r w:rsidR="00284D64">
        <w:rPr>
          <w:rFonts w:asciiTheme="minorHAnsi" w:hAnsiTheme="minorHAnsi" w:cstheme="minorHAnsi"/>
          <w:sz w:val="22"/>
          <w:szCs w:val="22"/>
        </w:rPr>
        <w:t>, par exemple.</w:t>
      </w:r>
      <w:r w:rsidRPr="000F3109">
        <w:rPr>
          <w:rFonts w:asciiTheme="minorHAnsi" w:hAnsiTheme="minorHAnsi" w:cstheme="minorHAnsi"/>
          <w:b/>
          <w:bCs/>
          <w:iCs/>
          <w:sz w:val="22"/>
          <w:szCs w:val="22"/>
        </w:rPr>
        <w:t xml:space="preserve"> </w:t>
      </w:r>
    </w:p>
    <w:p w:rsidR="008B6138" w:rsidRPr="000F3109" w:rsidRDefault="008B6138" w:rsidP="00F60A60">
      <w:pPr>
        <w:pStyle w:val="Default"/>
        <w:jc w:val="both"/>
        <w:rPr>
          <w:rFonts w:asciiTheme="minorHAnsi" w:hAnsiTheme="minorHAnsi" w:cstheme="minorHAnsi"/>
          <w:b/>
          <w:sz w:val="22"/>
          <w:szCs w:val="22"/>
        </w:rPr>
      </w:pPr>
    </w:p>
    <w:p w:rsidR="000E396D" w:rsidRPr="00A753E1" w:rsidRDefault="00325453" w:rsidP="000E396D">
      <w:pPr>
        <w:spacing w:line="240" w:lineRule="auto"/>
        <w:jc w:val="both"/>
        <w:rPr>
          <w:rFonts w:cstheme="minorHAnsi"/>
          <w:sz w:val="28"/>
          <w:szCs w:val="28"/>
        </w:rPr>
      </w:pPr>
      <w:r>
        <w:rPr>
          <w:rFonts w:cstheme="minorHAnsi"/>
          <w:b/>
          <w:sz w:val="28"/>
          <w:szCs w:val="28"/>
        </w:rPr>
        <w:t xml:space="preserve">4) </w:t>
      </w:r>
      <w:r w:rsidR="008A3D0D">
        <w:rPr>
          <w:rFonts w:cstheme="minorHAnsi"/>
          <w:b/>
          <w:sz w:val="28"/>
          <w:szCs w:val="28"/>
        </w:rPr>
        <w:t>Pr</w:t>
      </w:r>
      <w:r w:rsidR="009B0984">
        <w:rPr>
          <w:rFonts w:cstheme="minorHAnsi"/>
          <w:b/>
          <w:sz w:val="28"/>
          <w:szCs w:val="28"/>
        </w:rPr>
        <w:t>opositions</w:t>
      </w:r>
    </w:p>
    <w:p w:rsidR="00D01979" w:rsidRPr="001A2CB5" w:rsidRDefault="000E396D" w:rsidP="00D01979">
      <w:pPr>
        <w:spacing w:line="240" w:lineRule="auto"/>
        <w:jc w:val="both"/>
        <w:rPr>
          <w:rFonts w:eastAsia="Calibri" w:cstheme="minorHAnsi"/>
        </w:rPr>
      </w:pPr>
      <w:r>
        <w:rPr>
          <w:rFonts w:cstheme="minorHAnsi"/>
        </w:rPr>
        <w:t>L’analyse des récits de vie a mis en évidence</w:t>
      </w:r>
      <w:r w:rsidRPr="00CD29B4">
        <w:rPr>
          <w:rFonts w:cstheme="minorHAnsi"/>
        </w:rPr>
        <w:t xml:space="preserve"> que les facteurs </w:t>
      </w:r>
      <w:r>
        <w:rPr>
          <w:rFonts w:cstheme="minorHAnsi"/>
        </w:rPr>
        <w:t>de réussite chez les enfants de migrant</w:t>
      </w:r>
      <w:r w:rsidR="00BA0525">
        <w:rPr>
          <w:rFonts w:cstheme="minorHAnsi"/>
        </w:rPr>
        <w:t xml:space="preserve">s sont souvent à rechercher </w:t>
      </w:r>
      <w:r w:rsidRPr="00CD29B4">
        <w:rPr>
          <w:rFonts w:cstheme="minorHAnsi"/>
        </w:rPr>
        <w:t xml:space="preserve"> dans l’implication des parents dans</w:t>
      </w:r>
      <w:r w:rsidR="00BA0525">
        <w:rPr>
          <w:rFonts w:cstheme="minorHAnsi"/>
        </w:rPr>
        <w:t xml:space="preserve"> le suivi du travail scolaire, ou </w:t>
      </w:r>
      <w:r w:rsidRPr="00CD29B4">
        <w:rPr>
          <w:rFonts w:cstheme="minorHAnsi"/>
        </w:rPr>
        <w:t xml:space="preserve"> dans des relations privilégiées de l’élève avec les enseignants, soit encore dan</w:t>
      </w:r>
      <w:r w:rsidR="001C770B">
        <w:rPr>
          <w:rFonts w:cstheme="minorHAnsi"/>
        </w:rPr>
        <w:t xml:space="preserve">s </w:t>
      </w:r>
      <w:r w:rsidRPr="00CD29B4">
        <w:rPr>
          <w:rFonts w:cstheme="minorHAnsi"/>
        </w:rPr>
        <w:t xml:space="preserve"> certains dispositifs mis en place par l’éducation n</w:t>
      </w:r>
      <w:r w:rsidR="00BA0525">
        <w:rPr>
          <w:rFonts w:cstheme="minorHAnsi"/>
        </w:rPr>
        <w:t>ationale</w:t>
      </w:r>
      <w:r w:rsidRPr="00CD29B4">
        <w:rPr>
          <w:rFonts w:cstheme="minorHAnsi"/>
        </w:rPr>
        <w:t>.</w:t>
      </w:r>
      <w:r>
        <w:rPr>
          <w:rFonts w:cstheme="minorHAnsi"/>
        </w:rPr>
        <w:t xml:space="preserve"> </w:t>
      </w:r>
      <w:r w:rsidR="00BA0525">
        <w:rPr>
          <w:rFonts w:cstheme="minorHAnsi"/>
        </w:rPr>
        <w:t>Ces</w:t>
      </w:r>
      <w:r w:rsidR="00D01979" w:rsidRPr="001A2CB5">
        <w:rPr>
          <w:rFonts w:cstheme="minorHAnsi"/>
        </w:rPr>
        <w:t xml:space="preserve"> dispositifs, lorsqu'ils existent, sont </w:t>
      </w:r>
      <w:r w:rsidR="00BA0525">
        <w:rPr>
          <w:rFonts w:cstheme="minorHAnsi"/>
        </w:rPr>
        <w:t>utiles aux élèves pour réussir.</w:t>
      </w:r>
      <w:r w:rsidR="00D01979" w:rsidRPr="001A2CB5">
        <w:rPr>
          <w:rFonts w:cstheme="minorHAnsi"/>
        </w:rPr>
        <w:t xml:space="preserve"> </w:t>
      </w:r>
      <w:r w:rsidR="00D01979" w:rsidRPr="001A2CB5">
        <w:rPr>
          <w:rFonts w:cstheme="minorHAnsi"/>
          <w:bCs/>
        </w:rPr>
        <w:t>Sur les deux territoires, Les Mureaux et Aubervilliers, l</w:t>
      </w:r>
      <w:r w:rsidR="00D01979" w:rsidRPr="001A2CB5">
        <w:rPr>
          <w:rFonts w:eastAsia="Calibri" w:cstheme="minorHAnsi"/>
        </w:rPr>
        <w:t>’implication des familles dans les dispositifs cons</w:t>
      </w:r>
      <w:r w:rsidR="001A2CB5" w:rsidRPr="001A2CB5">
        <w:rPr>
          <w:rFonts w:eastAsia="Calibri" w:cstheme="minorHAnsi"/>
        </w:rPr>
        <w:t>titue un enjeu majeur, confirmé</w:t>
      </w:r>
      <w:r w:rsidR="00D01979" w:rsidRPr="001A2CB5">
        <w:rPr>
          <w:rFonts w:eastAsia="Calibri" w:cstheme="minorHAnsi"/>
        </w:rPr>
        <w:t xml:space="preserve"> par les observations et l’analyse des données de l’étude. D’où la proposition d’accompagnement des familles. </w:t>
      </w:r>
    </w:p>
    <w:p w:rsidR="000E30D1" w:rsidRPr="00325453" w:rsidRDefault="00325453" w:rsidP="00325453">
      <w:pPr>
        <w:spacing w:after="0" w:line="240" w:lineRule="auto"/>
        <w:jc w:val="both"/>
        <w:rPr>
          <w:rFonts w:cstheme="minorHAnsi"/>
          <w:b/>
          <w:sz w:val="24"/>
          <w:szCs w:val="24"/>
        </w:rPr>
      </w:pPr>
      <w:r>
        <w:rPr>
          <w:rFonts w:cstheme="minorHAnsi"/>
          <w:b/>
          <w:sz w:val="24"/>
          <w:szCs w:val="24"/>
        </w:rPr>
        <w:t>4.2)</w:t>
      </w:r>
      <w:r w:rsidR="00850EBA">
        <w:rPr>
          <w:rFonts w:cstheme="minorHAnsi"/>
          <w:b/>
          <w:sz w:val="24"/>
          <w:szCs w:val="24"/>
        </w:rPr>
        <w:t xml:space="preserve"> </w:t>
      </w:r>
      <w:r w:rsidR="000E30D1" w:rsidRPr="00325453">
        <w:rPr>
          <w:rFonts w:cstheme="minorHAnsi"/>
          <w:b/>
          <w:sz w:val="24"/>
          <w:szCs w:val="24"/>
        </w:rPr>
        <w:t>Accompagnement des familles médiation familles/école</w:t>
      </w:r>
    </w:p>
    <w:p w:rsidR="000E396D" w:rsidRPr="000E396D" w:rsidRDefault="000E396D" w:rsidP="000E396D">
      <w:pPr>
        <w:spacing w:line="240" w:lineRule="auto"/>
        <w:jc w:val="both"/>
        <w:rPr>
          <w:rFonts w:cstheme="minorHAnsi"/>
        </w:rPr>
      </w:pPr>
      <w:r w:rsidRPr="000F3109">
        <w:rPr>
          <w:rFonts w:cstheme="minorHAnsi"/>
        </w:rPr>
        <w:t>L</w:t>
      </w:r>
      <w:r>
        <w:rPr>
          <w:rFonts w:cstheme="minorHAnsi"/>
        </w:rPr>
        <w:t>’</w:t>
      </w:r>
      <w:r w:rsidRPr="000F3109">
        <w:rPr>
          <w:rFonts w:cstheme="minorHAnsi"/>
        </w:rPr>
        <w:t xml:space="preserve">attente </w:t>
      </w:r>
      <w:r>
        <w:rPr>
          <w:rFonts w:cstheme="minorHAnsi"/>
        </w:rPr>
        <w:t xml:space="preserve">active </w:t>
      </w:r>
      <w:r w:rsidRPr="000F3109">
        <w:rPr>
          <w:rFonts w:cstheme="minorHAnsi"/>
        </w:rPr>
        <w:t xml:space="preserve">des familles </w:t>
      </w:r>
      <w:r>
        <w:rPr>
          <w:rFonts w:cstheme="minorHAnsi"/>
        </w:rPr>
        <w:t xml:space="preserve">par rapport </w:t>
      </w:r>
      <w:r w:rsidRPr="000F3109">
        <w:rPr>
          <w:rFonts w:cstheme="minorHAnsi"/>
        </w:rPr>
        <w:t xml:space="preserve">à l’école </w:t>
      </w:r>
      <w:r>
        <w:rPr>
          <w:rFonts w:cstheme="minorHAnsi"/>
        </w:rPr>
        <w:t>est un point</w:t>
      </w:r>
      <w:r w:rsidRPr="000F3109">
        <w:rPr>
          <w:rFonts w:cstheme="minorHAnsi"/>
        </w:rPr>
        <w:t xml:space="preserve"> important pour la réussite de l’élève. Les données relatives à l’offre scolaire sur les territoires de l’étude révèlent comme un enjeu l’implication des familles vis‐à‐vis de l’école et des dispositifs de soutien.</w:t>
      </w:r>
      <w:r w:rsidR="00C74F16">
        <w:rPr>
          <w:rFonts w:cstheme="minorHAnsi"/>
        </w:rPr>
        <w:t xml:space="preserve"> </w:t>
      </w:r>
      <w:r w:rsidRPr="000F3109">
        <w:rPr>
          <w:rFonts w:cstheme="minorHAnsi"/>
        </w:rPr>
        <w:t xml:space="preserve">Les premières analyses montrent des incompréhensions liées à des représentations et stéréotypes de part et d’autre, et une faible fréquentation de l’école par les familles. </w:t>
      </w:r>
      <w:r w:rsidR="00FF1F08">
        <w:rPr>
          <w:rFonts w:cstheme="minorHAnsi"/>
        </w:rPr>
        <w:t xml:space="preserve">Ces faits </w:t>
      </w:r>
      <w:r w:rsidRPr="000F3109">
        <w:rPr>
          <w:rFonts w:cstheme="minorHAnsi"/>
        </w:rPr>
        <w:t xml:space="preserve">sont significatifs des décalages qui peuvent exister entre les attentes des différents acteurs : projet et aspiration de l’enfant, projet des familles </w:t>
      </w:r>
      <w:r w:rsidRPr="000F3109">
        <w:rPr>
          <w:rFonts w:cstheme="minorHAnsi"/>
        </w:rPr>
        <w:lastRenderedPageBreak/>
        <w:t xml:space="preserve">pour l’enfant, affectations des effectifs d’élèves et attentes de la part des enseignants d’un élève « type ». </w:t>
      </w:r>
    </w:p>
    <w:p w:rsidR="00E14730" w:rsidRDefault="00DC04D1" w:rsidP="00E14730">
      <w:pPr>
        <w:spacing w:after="0" w:line="240" w:lineRule="auto"/>
        <w:jc w:val="both"/>
        <w:rPr>
          <w:rFonts w:cstheme="minorHAnsi"/>
          <w:b/>
          <w:bCs/>
          <w:iCs/>
        </w:rPr>
      </w:pPr>
      <w:r w:rsidRPr="00DC04D1">
        <w:rPr>
          <w:rFonts w:cstheme="minorHAnsi"/>
        </w:rPr>
        <w:t>Pour faciliter la communication qui s’avère un facteur de réussite scolaire et dont l’absence crée les conditions de l’échec, nous proposons de renforcer les dispositifs de médiation interculturelle et d’en créer là où ils n’existent</w:t>
      </w:r>
      <w:r w:rsidR="00FF1F08">
        <w:rPr>
          <w:rFonts w:cstheme="minorHAnsi"/>
        </w:rPr>
        <w:t xml:space="preserve"> pas. </w:t>
      </w:r>
      <w:r w:rsidR="00FF1F08">
        <w:rPr>
          <w:rFonts w:cstheme="minorHAnsi"/>
          <w:bCs/>
          <w:iCs/>
        </w:rPr>
        <w:t>L’objectif serait de m</w:t>
      </w:r>
      <w:r w:rsidR="00E14730" w:rsidRPr="00E14730">
        <w:rPr>
          <w:rFonts w:cstheme="minorHAnsi"/>
          <w:bCs/>
          <w:iCs/>
        </w:rPr>
        <w:t xml:space="preserve">ultiplier les situations où les parents auront la possibilité de reconnaître les rouages et </w:t>
      </w:r>
      <w:r w:rsidR="00FF1F08">
        <w:rPr>
          <w:rFonts w:cstheme="minorHAnsi"/>
          <w:bCs/>
          <w:iCs/>
        </w:rPr>
        <w:t xml:space="preserve">d’utiliser, voire de maîtriser </w:t>
      </w:r>
      <w:r w:rsidR="00E14730" w:rsidRPr="00E14730">
        <w:rPr>
          <w:rFonts w:cstheme="minorHAnsi"/>
          <w:bCs/>
          <w:iCs/>
        </w:rPr>
        <w:t>les codes</w:t>
      </w:r>
      <w:r w:rsidR="00FF1F08" w:rsidRPr="00FF1F08">
        <w:rPr>
          <w:rFonts w:cstheme="minorHAnsi"/>
          <w:bCs/>
          <w:iCs/>
        </w:rPr>
        <w:t xml:space="preserve"> </w:t>
      </w:r>
      <w:r w:rsidR="00FF1F08" w:rsidRPr="00E14730">
        <w:rPr>
          <w:rFonts w:cstheme="minorHAnsi"/>
          <w:bCs/>
          <w:iCs/>
        </w:rPr>
        <w:t>de l’institution scolaire</w:t>
      </w:r>
      <w:r w:rsidR="00FF1F08">
        <w:rPr>
          <w:rFonts w:cstheme="minorHAnsi"/>
          <w:bCs/>
          <w:iCs/>
        </w:rPr>
        <w:t>.</w:t>
      </w:r>
    </w:p>
    <w:p w:rsidR="000E30D1" w:rsidRDefault="000E30D1" w:rsidP="00F60A60">
      <w:pPr>
        <w:pStyle w:val="Default"/>
        <w:jc w:val="both"/>
        <w:rPr>
          <w:rFonts w:asciiTheme="minorHAnsi" w:hAnsiTheme="minorHAnsi" w:cstheme="minorHAnsi"/>
          <w:sz w:val="22"/>
          <w:szCs w:val="22"/>
        </w:rPr>
      </w:pPr>
    </w:p>
    <w:p w:rsidR="000E30D1" w:rsidRPr="00416DA4" w:rsidRDefault="00850EBA" w:rsidP="00325453">
      <w:pPr>
        <w:pStyle w:val="Default"/>
        <w:jc w:val="both"/>
        <w:rPr>
          <w:rFonts w:asciiTheme="minorHAnsi" w:hAnsiTheme="minorHAnsi" w:cstheme="minorHAnsi"/>
        </w:rPr>
      </w:pPr>
      <w:r>
        <w:rPr>
          <w:rFonts w:cstheme="minorHAnsi"/>
          <w:b/>
        </w:rPr>
        <w:t xml:space="preserve">4.2) </w:t>
      </w:r>
      <w:r w:rsidR="000E30D1" w:rsidRPr="00416DA4">
        <w:rPr>
          <w:rFonts w:cstheme="minorHAnsi"/>
          <w:b/>
        </w:rPr>
        <w:t>Formation ou/et sensibilisation des professionnels CIO, enseignants, assistantes sociales</w:t>
      </w:r>
    </w:p>
    <w:p w:rsidR="00A02314" w:rsidRPr="00325453" w:rsidRDefault="00100FC2" w:rsidP="00F60A60">
      <w:pPr>
        <w:pStyle w:val="Default"/>
        <w:jc w:val="both"/>
        <w:rPr>
          <w:rFonts w:asciiTheme="minorHAnsi" w:hAnsiTheme="minorHAnsi" w:cstheme="minorHAnsi"/>
          <w:sz w:val="22"/>
          <w:szCs w:val="22"/>
        </w:rPr>
      </w:pPr>
      <w:r>
        <w:rPr>
          <w:rFonts w:asciiTheme="minorHAnsi" w:hAnsiTheme="minorHAnsi" w:cstheme="minorHAnsi"/>
          <w:sz w:val="22"/>
          <w:szCs w:val="22"/>
        </w:rPr>
        <w:t xml:space="preserve">L’idée est simple, mais délicate à mettre en </w:t>
      </w:r>
      <w:r w:rsidR="00A02314">
        <w:rPr>
          <w:rFonts w:asciiTheme="minorHAnsi" w:hAnsiTheme="minorHAnsi" w:cstheme="minorHAnsi"/>
          <w:sz w:val="22"/>
          <w:szCs w:val="22"/>
        </w:rPr>
        <w:t>pratique</w:t>
      </w:r>
      <w:r>
        <w:rPr>
          <w:rFonts w:asciiTheme="minorHAnsi" w:hAnsiTheme="minorHAnsi" w:cstheme="minorHAnsi"/>
          <w:sz w:val="22"/>
          <w:szCs w:val="22"/>
        </w:rPr>
        <w:t> : il s’agit de sensibiliser les professionnels de l’éducation au</w:t>
      </w:r>
      <w:r w:rsidR="00DC04D1" w:rsidRPr="00DC04D1">
        <w:rPr>
          <w:rFonts w:asciiTheme="minorHAnsi" w:hAnsiTheme="minorHAnsi" w:cstheme="minorHAnsi"/>
          <w:sz w:val="22"/>
          <w:szCs w:val="22"/>
        </w:rPr>
        <w:t xml:space="preserve"> besoin d’écoute et de reconnaissance</w:t>
      </w:r>
      <w:r>
        <w:rPr>
          <w:rFonts w:asciiTheme="minorHAnsi" w:hAnsiTheme="minorHAnsi" w:cstheme="minorHAnsi"/>
          <w:sz w:val="22"/>
          <w:szCs w:val="22"/>
        </w:rPr>
        <w:t xml:space="preserve"> de ces enfants.</w:t>
      </w:r>
      <w:r w:rsidR="00DC04D1" w:rsidRPr="00DC04D1">
        <w:rPr>
          <w:rFonts w:asciiTheme="minorHAnsi" w:hAnsiTheme="minorHAnsi" w:cstheme="minorHAnsi"/>
          <w:sz w:val="22"/>
          <w:szCs w:val="22"/>
        </w:rPr>
        <w:t xml:space="preserve"> </w:t>
      </w:r>
      <w:r w:rsidR="00E14730" w:rsidRPr="000F3109">
        <w:rPr>
          <w:rFonts w:asciiTheme="minorHAnsi" w:hAnsiTheme="minorHAnsi" w:cstheme="minorHAnsi"/>
          <w:sz w:val="22"/>
          <w:szCs w:val="22"/>
        </w:rPr>
        <w:t xml:space="preserve">Notre enquête montre </w:t>
      </w:r>
      <w:r w:rsidR="00E14730">
        <w:rPr>
          <w:rFonts w:asciiTheme="minorHAnsi" w:hAnsiTheme="minorHAnsi" w:cstheme="minorHAnsi"/>
          <w:sz w:val="22"/>
          <w:szCs w:val="22"/>
        </w:rPr>
        <w:t>que lorsqu’un</w:t>
      </w:r>
      <w:r w:rsidR="0092243D" w:rsidRPr="000F3109">
        <w:rPr>
          <w:rFonts w:asciiTheme="minorHAnsi" w:hAnsiTheme="minorHAnsi" w:cstheme="minorHAnsi"/>
          <w:sz w:val="22"/>
          <w:szCs w:val="22"/>
        </w:rPr>
        <w:t xml:space="preserve"> prof</w:t>
      </w:r>
      <w:r w:rsidR="008B6138" w:rsidRPr="000F3109">
        <w:rPr>
          <w:rFonts w:asciiTheme="minorHAnsi" w:hAnsiTheme="minorHAnsi" w:cstheme="minorHAnsi"/>
          <w:sz w:val="22"/>
          <w:szCs w:val="22"/>
        </w:rPr>
        <w:t>esseur</w:t>
      </w:r>
      <w:r w:rsidR="0092243D" w:rsidRPr="000F3109">
        <w:rPr>
          <w:rFonts w:asciiTheme="minorHAnsi" w:hAnsiTheme="minorHAnsi" w:cstheme="minorHAnsi"/>
          <w:sz w:val="22"/>
          <w:szCs w:val="22"/>
        </w:rPr>
        <w:t xml:space="preserve"> parle à ses élèves, </w:t>
      </w:r>
      <w:r>
        <w:rPr>
          <w:rFonts w:asciiTheme="minorHAnsi" w:hAnsiTheme="minorHAnsi" w:cstheme="minorHAnsi"/>
          <w:sz w:val="22"/>
          <w:szCs w:val="22"/>
        </w:rPr>
        <w:t>ces derniers</w:t>
      </w:r>
      <w:r w:rsidR="0092243D" w:rsidRPr="000F3109">
        <w:rPr>
          <w:rFonts w:asciiTheme="minorHAnsi" w:hAnsiTheme="minorHAnsi" w:cstheme="minorHAnsi"/>
          <w:sz w:val="22"/>
          <w:szCs w:val="22"/>
        </w:rPr>
        <w:t xml:space="preserve"> se mettent plus volontiers au travail, parce qu'alors ce qui se passe à l'école, tout à coup, les concerne personnellement. </w:t>
      </w:r>
      <w:r w:rsidR="007663C2">
        <w:rPr>
          <w:rFonts w:asciiTheme="minorHAnsi" w:hAnsiTheme="minorHAnsi" w:cstheme="minorHAnsi"/>
          <w:sz w:val="22"/>
          <w:szCs w:val="22"/>
        </w:rPr>
        <w:t xml:space="preserve"> Nos résultats donnent </w:t>
      </w:r>
      <w:r w:rsidR="007663C2" w:rsidRPr="00325453">
        <w:rPr>
          <w:rFonts w:cstheme="minorHAnsi"/>
        </w:rPr>
        <w:t>poids à une observation</w:t>
      </w:r>
      <w:r w:rsidR="0075188F" w:rsidRPr="00325453">
        <w:rPr>
          <w:rFonts w:cstheme="minorHAnsi"/>
        </w:rPr>
        <w:t xml:space="preserve"> déjà</w:t>
      </w:r>
      <w:r w:rsidR="007663C2" w:rsidRPr="00325453">
        <w:rPr>
          <w:rFonts w:cstheme="minorHAnsi"/>
        </w:rPr>
        <w:t xml:space="preserve"> ancienne, « l’effet pygmalion » </w:t>
      </w:r>
      <w:r w:rsidR="007663C2" w:rsidRPr="00325453">
        <w:rPr>
          <w:rFonts w:cstheme="minorHAnsi"/>
          <w:shd w:val="clear" w:color="auto" w:fill="FFFFFF"/>
        </w:rPr>
        <w:t>qui souligne que</w:t>
      </w:r>
      <w:r w:rsidR="007663C2" w:rsidRPr="00325453">
        <w:rPr>
          <w:rFonts w:cstheme="minorHAnsi"/>
        </w:rPr>
        <w:t>, selon le regard qu’on porte, on a une attente et on induit un effet en termes de réussite ou d’échec</w:t>
      </w:r>
    </w:p>
    <w:p w:rsidR="009A2E12" w:rsidRPr="00325453" w:rsidRDefault="009A2E12" w:rsidP="00F60A60">
      <w:pPr>
        <w:pStyle w:val="Default"/>
        <w:jc w:val="both"/>
        <w:rPr>
          <w:rFonts w:asciiTheme="minorHAnsi" w:hAnsiTheme="minorHAnsi" w:cstheme="minorHAnsi"/>
          <w:sz w:val="22"/>
          <w:szCs w:val="22"/>
        </w:rPr>
      </w:pPr>
    </w:p>
    <w:p w:rsidR="00C74F16" w:rsidRDefault="00100FC2" w:rsidP="00C74F16">
      <w:pPr>
        <w:pStyle w:val="Default"/>
        <w:jc w:val="both"/>
        <w:rPr>
          <w:rFonts w:cstheme="minorHAnsi"/>
        </w:rPr>
      </w:pPr>
      <w:r>
        <w:rPr>
          <w:rFonts w:asciiTheme="minorHAnsi" w:hAnsiTheme="minorHAnsi" w:cstheme="minorHAnsi"/>
          <w:sz w:val="22"/>
          <w:szCs w:val="22"/>
        </w:rPr>
        <w:t>L</w:t>
      </w:r>
      <w:r w:rsidR="0092243D" w:rsidRPr="00F60A60">
        <w:rPr>
          <w:rFonts w:asciiTheme="minorHAnsi" w:hAnsiTheme="minorHAnsi" w:cstheme="minorHAnsi"/>
          <w:sz w:val="22"/>
          <w:szCs w:val="22"/>
        </w:rPr>
        <w:t xml:space="preserve">'importance, souvent décisive des interactions dans la classe et plus généralement entre pairs, soulignée par presque tous les élèves interrogés, doit conduire à prendre en compte, avec la plus grande attention, les relations sociales au sein de l'école. Chaque élève est traversé par ce que nous appellerons des « soucis » multiples : relations avec les pairs, avec les membres de sa famille, avec les enseignants, questions d'apprentissages, recherche d'aides, etc. qui ne le laissent pas libre d'aborder l'école sereinement. </w:t>
      </w:r>
      <w:r w:rsidR="00C74F16">
        <w:rPr>
          <w:rFonts w:cstheme="minorHAnsi"/>
        </w:rPr>
        <w:t>La</w:t>
      </w:r>
      <w:r w:rsidR="00CD29B4" w:rsidRPr="00F60A60">
        <w:rPr>
          <w:rFonts w:cstheme="minorHAnsi"/>
        </w:rPr>
        <w:t xml:space="preserve"> confiance</w:t>
      </w:r>
      <w:r w:rsidR="007463AD">
        <w:rPr>
          <w:rFonts w:cstheme="minorHAnsi"/>
        </w:rPr>
        <w:t xml:space="preserve"> réciproque </w:t>
      </w:r>
      <w:r w:rsidR="00C74F16">
        <w:rPr>
          <w:rFonts w:cstheme="minorHAnsi"/>
        </w:rPr>
        <w:t>entre</w:t>
      </w:r>
      <w:r w:rsidR="007463AD">
        <w:rPr>
          <w:rFonts w:cstheme="minorHAnsi"/>
        </w:rPr>
        <w:t xml:space="preserve"> élèves et communauté éducative</w:t>
      </w:r>
      <w:r w:rsidR="00C74F16">
        <w:rPr>
          <w:rFonts w:cstheme="minorHAnsi"/>
        </w:rPr>
        <w:t xml:space="preserve"> est un levier de réussite scolaire à renforcer</w:t>
      </w:r>
      <w:r w:rsidR="00CD29B4" w:rsidRPr="00F60A60">
        <w:rPr>
          <w:rFonts w:cstheme="minorHAnsi"/>
        </w:rPr>
        <w:t xml:space="preserve">. </w:t>
      </w:r>
    </w:p>
    <w:p w:rsidR="00850EBA" w:rsidRDefault="00850EBA" w:rsidP="00850EBA">
      <w:pPr>
        <w:spacing w:after="0" w:line="240" w:lineRule="auto"/>
        <w:jc w:val="both"/>
        <w:rPr>
          <w:rFonts w:cstheme="minorHAnsi"/>
          <w:color w:val="000000"/>
        </w:rPr>
      </w:pPr>
      <w:bookmarkStart w:id="0" w:name="_GoBack"/>
      <w:bookmarkEnd w:id="0"/>
    </w:p>
    <w:p w:rsidR="00D805EE" w:rsidRPr="00850EBA" w:rsidRDefault="00850EBA" w:rsidP="00850EBA">
      <w:pPr>
        <w:spacing w:after="0" w:line="240" w:lineRule="auto"/>
        <w:jc w:val="both"/>
        <w:rPr>
          <w:rFonts w:cstheme="minorHAnsi"/>
          <w:b/>
          <w:sz w:val="24"/>
          <w:szCs w:val="24"/>
        </w:rPr>
      </w:pPr>
      <w:r>
        <w:rPr>
          <w:rFonts w:cstheme="minorHAnsi"/>
          <w:b/>
          <w:color w:val="000000"/>
        </w:rPr>
        <w:t xml:space="preserve">4.3) </w:t>
      </w:r>
      <w:r w:rsidR="001C07AA" w:rsidRPr="00850EBA">
        <w:rPr>
          <w:rFonts w:cstheme="minorHAnsi"/>
          <w:b/>
          <w:sz w:val="24"/>
          <w:szCs w:val="24"/>
        </w:rPr>
        <w:t xml:space="preserve">Renforcement du rôle et de la place des associations dans la médiation </w:t>
      </w:r>
    </w:p>
    <w:p w:rsidR="00CD29B4" w:rsidRDefault="00D805EE" w:rsidP="00D01979">
      <w:pPr>
        <w:spacing w:after="0" w:line="240" w:lineRule="auto"/>
        <w:jc w:val="both"/>
        <w:rPr>
          <w:color w:val="FF0000"/>
        </w:rPr>
      </w:pPr>
      <w:r w:rsidRPr="00F743C9">
        <w:rPr>
          <w:rFonts w:cstheme="minorHAnsi"/>
        </w:rPr>
        <w:t xml:space="preserve">Pour donner aux enfants toutes leurs chances, il apparait que </w:t>
      </w:r>
      <w:r w:rsidRPr="00F743C9">
        <w:rPr>
          <w:bCs/>
          <w:i/>
          <w:iCs/>
        </w:rPr>
        <w:t xml:space="preserve">le rôle des associations dans la médiation et les formes </w:t>
      </w:r>
      <w:r w:rsidR="00F743C9" w:rsidRPr="00F743C9">
        <w:rPr>
          <w:bCs/>
          <w:i/>
          <w:iCs/>
        </w:rPr>
        <w:t>de  concertation entre famille et é</w:t>
      </w:r>
      <w:r w:rsidRPr="00F743C9">
        <w:rPr>
          <w:bCs/>
          <w:i/>
          <w:iCs/>
        </w:rPr>
        <w:t>cole</w:t>
      </w:r>
      <w:r w:rsidR="00416DA4">
        <w:rPr>
          <w:bCs/>
          <w:i/>
          <w:iCs/>
        </w:rPr>
        <w:t xml:space="preserve"> doit être </w:t>
      </w:r>
      <w:r w:rsidR="00F743C9">
        <w:rPr>
          <w:bCs/>
          <w:i/>
          <w:iCs/>
        </w:rPr>
        <w:t xml:space="preserve"> renforc</w:t>
      </w:r>
      <w:r w:rsidR="00416DA4">
        <w:rPr>
          <w:bCs/>
          <w:i/>
          <w:iCs/>
        </w:rPr>
        <w:t>é</w:t>
      </w:r>
      <w:r w:rsidRPr="00F743C9">
        <w:rPr>
          <w:bCs/>
          <w:i/>
          <w:iCs/>
        </w:rPr>
        <w:t xml:space="preserve">. </w:t>
      </w:r>
      <w:r w:rsidRPr="00F743C9">
        <w:t>En effet, l</w:t>
      </w:r>
      <w:r w:rsidR="007F6157" w:rsidRPr="00F743C9">
        <w:t>e cadre associatif constitue souvent un moyen de compléter l’offre éducative du territoire. La place des associations de migrants dans ces processus constitue</w:t>
      </w:r>
      <w:r w:rsidR="000C7231" w:rsidRPr="00F743C9">
        <w:t xml:space="preserve"> </w:t>
      </w:r>
      <w:r w:rsidR="007F6157" w:rsidRPr="00F743C9">
        <w:t>également un enjeu, au regard de la question</w:t>
      </w:r>
      <w:r w:rsidR="00F743C9" w:rsidRPr="00F743C9">
        <w:t xml:space="preserve"> </w:t>
      </w:r>
      <w:r w:rsidR="007F6157" w:rsidRPr="00F743C9">
        <w:t>du lien avec les familles et de leur implication</w:t>
      </w:r>
      <w:r w:rsidR="007F6157" w:rsidRPr="00F743C9">
        <w:rPr>
          <w:b/>
          <w:bCs/>
        </w:rPr>
        <w:t xml:space="preserve">. </w:t>
      </w:r>
      <w:r w:rsidR="007F6157" w:rsidRPr="00F743C9">
        <w:t>La nécessité d’examiner les modalités de collaboration entre les professionnels de l’action éducative et les associations de quartier et/ou de migrants est partagée par tous les ac</w:t>
      </w:r>
      <w:r w:rsidR="00B05731">
        <w:t>teurs rencontrés</w:t>
      </w:r>
      <w:r w:rsidR="00B05731" w:rsidRPr="00B05731">
        <w:t>.</w:t>
      </w:r>
    </w:p>
    <w:p w:rsidR="00B05731" w:rsidRDefault="00B05731" w:rsidP="0075188F">
      <w:pPr>
        <w:spacing w:after="0" w:line="240" w:lineRule="auto"/>
        <w:jc w:val="both"/>
        <w:rPr>
          <w:rFonts w:cstheme="minorHAnsi"/>
        </w:rPr>
      </w:pPr>
    </w:p>
    <w:sectPr w:rsidR="00B05731" w:rsidSect="00E20211">
      <w:footerReference w:type="default" r:id="rId14"/>
      <w:pgSz w:w="11906" w:h="16838"/>
      <w:pgMar w:top="993" w:right="1417" w:bottom="1276"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66" w:rsidRDefault="004E7E66" w:rsidP="003A1AA6">
      <w:pPr>
        <w:spacing w:after="0" w:line="240" w:lineRule="auto"/>
      </w:pPr>
      <w:r>
        <w:separator/>
      </w:r>
    </w:p>
  </w:endnote>
  <w:endnote w:type="continuationSeparator" w:id="0">
    <w:p w:rsidR="004E7E66" w:rsidRDefault="004E7E66" w:rsidP="003A1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5252"/>
      <w:docPartObj>
        <w:docPartGallery w:val="Page Numbers (Bottom of Page)"/>
        <w:docPartUnique/>
      </w:docPartObj>
    </w:sdtPr>
    <w:sdtContent>
      <w:p w:rsidR="00EA76EA" w:rsidRDefault="00225D27">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EA76EA" w:rsidRDefault="00225D27">
                    <w:pPr>
                      <w:jc w:val="center"/>
                    </w:pPr>
                    <w:r w:rsidRPr="00225D27">
                      <w:fldChar w:fldCharType="begin"/>
                    </w:r>
                    <w:r w:rsidR="009628ED">
                      <w:instrText xml:space="preserve"> PAGE    \* MERGEFORMAT </w:instrText>
                    </w:r>
                    <w:r w:rsidRPr="00225D27">
                      <w:fldChar w:fldCharType="separate"/>
                    </w:r>
                    <w:r w:rsidR="00722244" w:rsidRPr="00722244">
                      <w:rPr>
                        <w:noProof/>
                        <w:sz w:val="16"/>
                        <w:szCs w:val="16"/>
                      </w:rPr>
                      <w:t>8</w:t>
                    </w:r>
                    <w:r>
                      <w:rPr>
                        <w:noProof/>
                        <w:sz w:val="16"/>
                        <w:szCs w:val="16"/>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66" w:rsidRDefault="004E7E66" w:rsidP="003A1AA6">
      <w:pPr>
        <w:spacing w:after="0" w:line="240" w:lineRule="auto"/>
      </w:pPr>
      <w:r>
        <w:separator/>
      </w:r>
    </w:p>
  </w:footnote>
  <w:footnote w:type="continuationSeparator" w:id="0">
    <w:p w:rsidR="004E7E66" w:rsidRDefault="004E7E66" w:rsidP="003A1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F9E"/>
    <w:multiLevelType w:val="multilevel"/>
    <w:tmpl w:val="DA78AA68"/>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4854C1F"/>
    <w:multiLevelType w:val="multilevel"/>
    <w:tmpl w:val="F3E2B5DA"/>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F46449"/>
    <w:multiLevelType w:val="multilevel"/>
    <w:tmpl w:val="0254D3B8"/>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374F8F"/>
    <w:multiLevelType w:val="hybridMultilevel"/>
    <w:tmpl w:val="6D4EBB2E"/>
    <w:lvl w:ilvl="0" w:tplc="F78A12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EA74A5A"/>
    <w:multiLevelType w:val="multilevel"/>
    <w:tmpl w:val="40E029D0"/>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A320242"/>
    <w:multiLevelType w:val="hybridMultilevel"/>
    <w:tmpl w:val="B030B4C0"/>
    <w:lvl w:ilvl="0" w:tplc="F78A12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C8B5F17"/>
    <w:multiLevelType w:val="hybridMultilevel"/>
    <w:tmpl w:val="EC146CB0"/>
    <w:lvl w:ilvl="0" w:tplc="2B56DBB2">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6DE76CF"/>
    <w:multiLevelType w:val="hybridMultilevel"/>
    <w:tmpl w:val="137CBE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DE33E66"/>
    <w:multiLevelType w:val="multilevel"/>
    <w:tmpl w:val="3D50A878"/>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num>
  <w:num w:numId="4">
    <w:abstractNumId w:val="2"/>
  </w:num>
  <w:num w:numId="5">
    <w:abstractNumId w:val="1"/>
  </w:num>
  <w:num w:numId="6">
    <w:abstractNumId w:val="7"/>
  </w:num>
  <w:num w:numId="7">
    <w:abstractNumId w:val="8"/>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383A10"/>
    <w:rsid w:val="000054A6"/>
    <w:rsid w:val="0001365E"/>
    <w:rsid w:val="000137FF"/>
    <w:rsid w:val="000156BA"/>
    <w:rsid w:val="00026D2E"/>
    <w:rsid w:val="00027E4C"/>
    <w:rsid w:val="0003438C"/>
    <w:rsid w:val="00042929"/>
    <w:rsid w:val="00044D84"/>
    <w:rsid w:val="00045A34"/>
    <w:rsid w:val="000475F0"/>
    <w:rsid w:val="0005002C"/>
    <w:rsid w:val="000524BF"/>
    <w:rsid w:val="0007341D"/>
    <w:rsid w:val="00075967"/>
    <w:rsid w:val="0007781C"/>
    <w:rsid w:val="00086409"/>
    <w:rsid w:val="000A7E73"/>
    <w:rsid w:val="000C62DB"/>
    <w:rsid w:val="000C7231"/>
    <w:rsid w:val="000D4FE9"/>
    <w:rsid w:val="000E30D1"/>
    <w:rsid w:val="000E396D"/>
    <w:rsid w:val="000F3109"/>
    <w:rsid w:val="000F3769"/>
    <w:rsid w:val="000F6166"/>
    <w:rsid w:val="000F77D4"/>
    <w:rsid w:val="00100B60"/>
    <w:rsid w:val="00100FC2"/>
    <w:rsid w:val="00102DD1"/>
    <w:rsid w:val="00106BE0"/>
    <w:rsid w:val="00111566"/>
    <w:rsid w:val="00111F7F"/>
    <w:rsid w:val="0011713B"/>
    <w:rsid w:val="00120901"/>
    <w:rsid w:val="00122A32"/>
    <w:rsid w:val="00123386"/>
    <w:rsid w:val="00135EE0"/>
    <w:rsid w:val="0014197D"/>
    <w:rsid w:val="00142784"/>
    <w:rsid w:val="00146A9E"/>
    <w:rsid w:val="00147F89"/>
    <w:rsid w:val="0016164E"/>
    <w:rsid w:val="001620FC"/>
    <w:rsid w:val="00167D80"/>
    <w:rsid w:val="00174272"/>
    <w:rsid w:val="001A030D"/>
    <w:rsid w:val="001A2CB5"/>
    <w:rsid w:val="001A5065"/>
    <w:rsid w:val="001A7513"/>
    <w:rsid w:val="001B4050"/>
    <w:rsid w:val="001B5E88"/>
    <w:rsid w:val="001C07AA"/>
    <w:rsid w:val="001C1BCE"/>
    <w:rsid w:val="001C40EB"/>
    <w:rsid w:val="001C5B16"/>
    <w:rsid w:val="001C770B"/>
    <w:rsid w:val="001E1D37"/>
    <w:rsid w:val="001E1FCE"/>
    <w:rsid w:val="00203ECE"/>
    <w:rsid w:val="00205710"/>
    <w:rsid w:val="0020783E"/>
    <w:rsid w:val="00210695"/>
    <w:rsid w:val="0022055B"/>
    <w:rsid w:val="00225D27"/>
    <w:rsid w:val="00241599"/>
    <w:rsid w:val="00252EB9"/>
    <w:rsid w:val="00253C8E"/>
    <w:rsid w:val="002557DB"/>
    <w:rsid w:val="00277259"/>
    <w:rsid w:val="00281249"/>
    <w:rsid w:val="0028396E"/>
    <w:rsid w:val="00284D64"/>
    <w:rsid w:val="00290F95"/>
    <w:rsid w:val="002930EE"/>
    <w:rsid w:val="00295712"/>
    <w:rsid w:val="002A6595"/>
    <w:rsid w:val="002B0BC8"/>
    <w:rsid w:val="002C7649"/>
    <w:rsid w:val="002D0033"/>
    <w:rsid w:val="002D7157"/>
    <w:rsid w:val="002E210A"/>
    <w:rsid w:val="002F78E5"/>
    <w:rsid w:val="002F7F73"/>
    <w:rsid w:val="00300273"/>
    <w:rsid w:val="00300BC3"/>
    <w:rsid w:val="003024E3"/>
    <w:rsid w:val="00310F74"/>
    <w:rsid w:val="0031261E"/>
    <w:rsid w:val="00315C6A"/>
    <w:rsid w:val="00315F99"/>
    <w:rsid w:val="00324954"/>
    <w:rsid w:val="00325453"/>
    <w:rsid w:val="00330A3E"/>
    <w:rsid w:val="00331E34"/>
    <w:rsid w:val="00332D66"/>
    <w:rsid w:val="00346F49"/>
    <w:rsid w:val="00356F89"/>
    <w:rsid w:val="0036143F"/>
    <w:rsid w:val="00362969"/>
    <w:rsid w:val="00366CD0"/>
    <w:rsid w:val="00382973"/>
    <w:rsid w:val="00383A10"/>
    <w:rsid w:val="00395399"/>
    <w:rsid w:val="003A1AA6"/>
    <w:rsid w:val="003B16FB"/>
    <w:rsid w:val="003C0D11"/>
    <w:rsid w:val="003D114E"/>
    <w:rsid w:val="003E05C3"/>
    <w:rsid w:val="003E43F3"/>
    <w:rsid w:val="003E6E4F"/>
    <w:rsid w:val="003F010A"/>
    <w:rsid w:val="003F642F"/>
    <w:rsid w:val="003F6527"/>
    <w:rsid w:val="003F65B1"/>
    <w:rsid w:val="004039DD"/>
    <w:rsid w:val="0041515B"/>
    <w:rsid w:val="00416DA4"/>
    <w:rsid w:val="004337EF"/>
    <w:rsid w:val="00434351"/>
    <w:rsid w:val="00440FE1"/>
    <w:rsid w:val="00444882"/>
    <w:rsid w:val="00444ABE"/>
    <w:rsid w:val="004459E6"/>
    <w:rsid w:val="00447B7E"/>
    <w:rsid w:val="00456621"/>
    <w:rsid w:val="00457100"/>
    <w:rsid w:val="0048305B"/>
    <w:rsid w:val="0048360F"/>
    <w:rsid w:val="00495DA5"/>
    <w:rsid w:val="004975E9"/>
    <w:rsid w:val="004A7518"/>
    <w:rsid w:val="004B24E0"/>
    <w:rsid w:val="004C4885"/>
    <w:rsid w:val="004D0D7F"/>
    <w:rsid w:val="004D5DE5"/>
    <w:rsid w:val="004D741F"/>
    <w:rsid w:val="004E70B0"/>
    <w:rsid w:val="004E7E66"/>
    <w:rsid w:val="004F3030"/>
    <w:rsid w:val="00500914"/>
    <w:rsid w:val="00514084"/>
    <w:rsid w:val="00516A06"/>
    <w:rsid w:val="00517C84"/>
    <w:rsid w:val="00521C6D"/>
    <w:rsid w:val="00525C13"/>
    <w:rsid w:val="00532B10"/>
    <w:rsid w:val="005378F6"/>
    <w:rsid w:val="00537B59"/>
    <w:rsid w:val="005546CE"/>
    <w:rsid w:val="005774D8"/>
    <w:rsid w:val="00593D47"/>
    <w:rsid w:val="00594419"/>
    <w:rsid w:val="00596520"/>
    <w:rsid w:val="0059746E"/>
    <w:rsid w:val="005A5318"/>
    <w:rsid w:val="005A5464"/>
    <w:rsid w:val="005A6248"/>
    <w:rsid w:val="005B4D43"/>
    <w:rsid w:val="005C60D0"/>
    <w:rsid w:val="005C7B69"/>
    <w:rsid w:val="005D1671"/>
    <w:rsid w:val="005D261A"/>
    <w:rsid w:val="005E0F41"/>
    <w:rsid w:val="005E1895"/>
    <w:rsid w:val="00607CCE"/>
    <w:rsid w:val="00613221"/>
    <w:rsid w:val="00615835"/>
    <w:rsid w:val="0061619B"/>
    <w:rsid w:val="00636697"/>
    <w:rsid w:val="00637ECC"/>
    <w:rsid w:val="00653420"/>
    <w:rsid w:val="00660270"/>
    <w:rsid w:val="00661449"/>
    <w:rsid w:val="00670AB1"/>
    <w:rsid w:val="0068774D"/>
    <w:rsid w:val="00697A80"/>
    <w:rsid w:val="006A6E03"/>
    <w:rsid w:val="006A7C23"/>
    <w:rsid w:val="006B74F2"/>
    <w:rsid w:val="006B77E7"/>
    <w:rsid w:val="006C1D39"/>
    <w:rsid w:val="006C311D"/>
    <w:rsid w:val="006C7B0E"/>
    <w:rsid w:val="006D6D4D"/>
    <w:rsid w:val="006E0210"/>
    <w:rsid w:val="006F71D0"/>
    <w:rsid w:val="006F7F8D"/>
    <w:rsid w:val="00703EEA"/>
    <w:rsid w:val="00705F6A"/>
    <w:rsid w:val="0070727F"/>
    <w:rsid w:val="00707D65"/>
    <w:rsid w:val="00714D4B"/>
    <w:rsid w:val="00716029"/>
    <w:rsid w:val="007162CC"/>
    <w:rsid w:val="00722171"/>
    <w:rsid w:val="00722244"/>
    <w:rsid w:val="00735665"/>
    <w:rsid w:val="00736C46"/>
    <w:rsid w:val="007409A8"/>
    <w:rsid w:val="0074454C"/>
    <w:rsid w:val="007463AD"/>
    <w:rsid w:val="00750C43"/>
    <w:rsid w:val="0075188F"/>
    <w:rsid w:val="0075308B"/>
    <w:rsid w:val="00754D51"/>
    <w:rsid w:val="007623C3"/>
    <w:rsid w:val="007663C2"/>
    <w:rsid w:val="0076708F"/>
    <w:rsid w:val="00772A1B"/>
    <w:rsid w:val="007821C2"/>
    <w:rsid w:val="007829A1"/>
    <w:rsid w:val="00791BF2"/>
    <w:rsid w:val="00792FE1"/>
    <w:rsid w:val="007A1C43"/>
    <w:rsid w:val="007A3C96"/>
    <w:rsid w:val="007B2133"/>
    <w:rsid w:val="007B645C"/>
    <w:rsid w:val="007B6A98"/>
    <w:rsid w:val="007C2971"/>
    <w:rsid w:val="007C5587"/>
    <w:rsid w:val="007D7601"/>
    <w:rsid w:val="007E05B4"/>
    <w:rsid w:val="007F4FC7"/>
    <w:rsid w:val="007F6157"/>
    <w:rsid w:val="007F650E"/>
    <w:rsid w:val="007F7194"/>
    <w:rsid w:val="00803846"/>
    <w:rsid w:val="00807ACB"/>
    <w:rsid w:val="00811A67"/>
    <w:rsid w:val="00813EE5"/>
    <w:rsid w:val="008154CF"/>
    <w:rsid w:val="00823E42"/>
    <w:rsid w:val="00827086"/>
    <w:rsid w:val="0083305D"/>
    <w:rsid w:val="00834386"/>
    <w:rsid w:val="00850EBA"/>
    <w:rsid w:val="00851162"/>
    <w:rsid w:val="00854285"/>
    <w:rsid w:val="0086418B"/>
    <w:rsid w:val="00866FFD"/>
    <w:rsid w:val="00872B4E"/>
    <w:rsid w:val="0088567B"/>
    <w:rsid w:val="00885919"/>
    <w:rsid w:val="00887A5C"/>
    <w:rsid w:val="008930D3"/>
    <w:rsid w:val="0089690B"/>
    <w:rsid w:val="008A2736"/>
    <w:rsid w:val="008A3D0D"/>
    <w:rsid w:val="008A581B"/>
    <w:rsid w:val="008A662E"/>
    <w:rsid w:val="008A6AFE"/>
    <w:rsid w:val="008A7D3E"/>
    <w:rsid w:val="008B6138"/>
    <w:rsid w:val="008B6271"/>
    <w:rsid w:val="008C0355"/>
    <w:rsid w:val="008E168B"/>
    <w:rsid w:val="008F2B08"/>
    <w:rsid w:val="008F4651"/>
    <w:rsid w:val="008F6AD4"/>
    <w:rsid w:val="008F7841"/>
    <w:rsid w:val="008F7CE4"/>
    <w:rsid w:val="0090626C"/>
    <w:rsid w:val="00907FC9"/>
    <w:rsid w:val="00911276"/>
    <w:rsid w:val="00913D53"/>
    <w:rsid w:val="009203D6"/>
    <w:rsid w:val="0092243D"/>
    <w:rsid w:val="009225ED"/>
    <w:rsid w:val="00924E19"/>
    <w:rsid w:val="00927B57"/>
    <w:rsid w:val="00933F95"/>
    <w:rsid w:val="00934A69"/>
    <w:rsid w:val="00941809"/>
    <w:rsid w:val="00947449"/>
    <w:rsid w:val="00956FCC"/>
    <w:rsid w:val="009600BE"/>
    <w:rsid w:val="009628ED"/>
    <w:rsid w:val="00962F0F"/>
    <w:rsid w:val="00970851"/>
    <w:rsid w:val="00972974"/>
    <w:rsid w:val="00984CE0"/>
    <w:rsid w:val="009A2E12"/>
    <w:rsid w:val="009A45A1"/>
    <w:rsid w:val="009A54BB"/>
    <w:rsid w:val="009B0984"/>
    <w:rsid w:val="009B5322"/>
    <w:rsid w:val="009B6E89"/>
    <w:rsid w:val="009C025E"/>
    <w:rsid w:val="009C40E0"/>
    <w:rsid w:val="009D2524"/>
    <w:rsid w:val="009D7D91"/>
    <w:rsid w:val="009E7A43"/>
    <w:rsid w:val="009F5E50"/>
    <w:rsid w:val="00A01283"/>
    <w:rsid w:val="00A02314"/>
    <w:rsid w:val="00A102F9"/>
    <w:rsid w:val="00A1103E"/>
    <w:rsid w:val="00A21FDF"/>
    <w:rsid w:val="00A27045"/>
    <w:rsid w:val="00A276B1"/>
    <w:rsid w:val="00A34791"/>
    <w:rsid w:val="00A44686"/>
    <w:rsid w:val="00A50642"/>
    <w:rsid w:val="00A55B3B"/>
    <w:rsid w:val="00A63BBF"/>
    <w:rsid w:val="00A660CB"/>
    <w:rsid w:val="00A753E1"/>
    <w:rsid w:val="00A83335"/>
    <w:rsid w:val="00A840FB"/>
    <w:rsid w:val="00A942D6"/>
    <w:rsid w:val="00A94820"/>
    <w:rsid w:val="00A964D8"/>
    <w:rsid w:val="00A965EF"/>
    <w:rsid w:val="00AA4FE7"/>
    <w:rsid w:val="00AB1D1D"/>
    <w:rsid w:val="00AB3A8F"/>
    <w:rsid w:val="00AB67D8"/>
    <w:rsid w:val="00AC16FF"/>
    <w:rsid w:val="00AD0DA1"/>
    <w:rsid w:val="00AD2FC9"/>
    <w:rsid w:val="00AE719B"/>
    <w:rsid w:val="00AE7985"/>
    <w:rsid w:val="00AE7E33"/>
    <w:rsid w:val="00B05731"/>
    <w:rsid w:val="00B06FC4"/>
    <w:rsid w:val="00B21EEB"/>
    <w:rsid w:val="00B31ECD"/>
    <w:rsid w:val="00B325CE"/>
    <w:rsid w:val="00B34707"/>
    <w:rsid w:val="00B36518"/>
    <w:rsid w:val="00B61938"/>
    <w:rsid w:val="00B66808"/>
    <w:rsid w:val="00B825F3"/>
    <w:rsid w:val="00B839CD"/>
    <w:rsid w:val="00B84CD4"/>
    <w:rsid w:val="00B8697A"/>
    <w:rsid w:val="00B93E04"/>
    <w:rsid w:val="00BA0525"/>
    <w:rsid w:val="00BA4CB7"/>
    <w:rsid w:val="00BB1DE0"/>
    <w:rsid w:val="00BB2966"/>
    <w:rsid w:val="00BB3FC1"/>
    <w:rsid w:val="00BB615C"/>
    <w:rsid w:val="00BB74A8"/>
    <w:rsid w:val="00BD0CD9"/>
    <w:rsid w:val="00BD1407"/>
    <w:rsid w:val="00BE393D"/>
    <w:rsid w:val="00BF358A"/>
    <w:rsid w:val="00BF4FE7"/>
    <w:rsid w:val="00BF51EF"/>
    <w:rsid w:val="00C05D82"/>
    <w:rsid w:val="00C1148B"/>
    <w:rsid w:val="00C27425"/>
    <w:rsid w:val="00C37C2F"/>
    <w:rsid w:val="00C409D5"/>
    <w:rsid w:val="00C452AD"/>
    <w:rsid w:val="00C470A0"/>
    <w:rsid w:val="00C55580"/>
    <w:rsid w:val="00C60C96"/>
    <w:rsid w:val="00C72AF6"/>
    <w:rsid w:val="00C74F16"/>
    <w:rsid w:val="00C75E41"/>
    <w:rsid w:val="00C821AB"/>
    <w:rsid w:val="00C82CFD"/>
    <w:rsid w:val="00C86C44"/>
    <w:rsid w:val="00C941C1"/>
    <w:rsid w:val="00CA4337"/>
    <w:rsid w:val="00CA4695"/>
    <w:rsid w:val="00CB0F6D"/>
    <w:rsid w:val="00CB7F6E"/>
    <w:rsid w:val="00CC355E"/>
    <w:rsid w:val="00CC5DB6"/>
    <w:rsid w:val="00CC603D"/>
    <w:rsid w:val="00CD061C"/>
    <w:rsid w:val="00CD29B4"/>
    <w:rsid w:val="00CD35E4"/>
    <w:rsid w:val="00CD63DC"/>
    <w:rsid w:val="00CD6BC1"/>
    <w:rsid w:val="00CD6DC8"/>
    <w:rsid w:val="00CD6EC8"/>
    <w:rsid w:val="00CE00E6"/>
    <w:rsid w:val="00CE2464"/>
    <w:rsid w:val="00CE4DD8"/>
    <w:rsid w:val="00CE7EA7"/>
    <w:rsid w:val="00D016DA"/>
    <w:rsid w:val="00D01979"/>
    <w:rsid w:val="00D053CE"/>
    <w:rsid w:val="00D06440"/>
    <w:rsid w:val="00D12A2A"/>
    <w:rsid w:val="00D25FBB"/>
    <w:rsid w:val="00D3630D"/>
    <w:rsid w:val="00D4317D"/>
    <w:rsid w:val="00D44CE9"/>
    <w:rsid w:val="00D45093"/>
    <w:rsid w:val="00D4520A"/>
    <w:rsid w:val="00D57B7C"/>
    <w:rsid w:val="00D6001F"/>
    <w:rsid w:val="00D620F4"/>
    <w:rsid w:val="00D62B4B"/>
    <w:rsid w:val="00D648A3"/>
    <w:rsid w:val="00D6627F"/>
    <w:rsid w:val="00D67DC5"/>
    <w:rsid w:val="00D745FD"/>
    <w:rsid w:val="00D7688A"/>
    <w:rsid w:val="00D805EE"/>
    <w:rsid w:val="00D80F1F"/>
    <w:rsid w:val="00D828C0"/>
    <w:rsid w:val="00D87306"/>
    <w:rsid w:val="00D924F2"/>
    <w:rsid w:val="00D93673"/>
    <w:rsid w:val="00D9570B"/>
    <w:rsid w:val="00DA0CFB"/>
    <w:rsid w:val="00DA470D"/>
    <w:rsid w:val="00DC04D1"/>
    <w:rsid w:val="00DC3345"/>
    <w:rsid w:val="00DD1A01"/>
    <w:rsid w:val="00DD762E"/>
    <w:rsid w:val="00DE0EAF"/>
    <w:rsid w:val="00DE555A"/>
    <w:rsid w:val="00DE5A47"/>
    <w:rsid w:val="00DE71F3"/>
    <w:rsid w:val="00DF23FC"/>
    <w:rsid w:val="00DF3932"/>
    <w:rsid w:val="00E0281B"/>
    <w:rsid w:val="00E0513E"/>
    <w:rsid w:val="00E05320"/>
    <w:rsid w:val="00E0697F"/>
    <w:rsid w:val="00E11386"/>
    <w:rsid w:val="00E1326B"/>
    <w:rsid w:val="00E14730"/>
    <w:rsid w:val="00E20211"/>
    <w:rsid w:val="00E24E25"/>
    <w:rsid w:val="00E31C52"/>
    <w:rsid w:val="00E32A58"/>
    <w:rsid w:val="00E34CF3"/>
    <w:rsid w:val="00E42DC3"/>
    <w:rsid w:val="00E50200"/>
    <w:rsid w:val="00E546C2"/>
    <w:rsid w:val="00E63377"/>
    <w:rsid w:val="00E663E2"/>
    <w:rsid w:val="00E67DAE"/>
    <w:rsid w:val="00E70B85"/>
    <w:rsid w:val="00E74868"/>
    <w:rsid w:val="00E8745D"/>
    <w:rsid w:val="00E87A40"/>
    <w:rsid w:val="00E903AD"/>
    <w:rsid w:val="00E93860"/>
    <w:rsid w:val="00EA5C60"/>
    <w:rsid w:val="00EA7261"/>
    <w:rsid w:val="00EA76EA"/>
    <w:rsid w:val="00EB31CB"/>
    <w:rsid w:val="00EB5031"/>
    <w:rsid w:val="00EB79DB"/>
    <w:rsid w:val="00ED5482"/>
    <w:rsid w:val="00EE1C28"/>
    <w:rsid w:val="00EE2539"/>
    <w:rsid w:val="00EE4CE6"/>
    <w:rsid w:val="00EF0ABF"/>
    <w:rsid w:val="00EF3C75"/>
    <w:rsid w:val="00EF4721"/>
    <w:rsid w:val="00EF5946"/>
    <w:rsid w:val="00EF7260"/>
    <w:rsid w:val="00EF7738"/>
    <w:rsid w:val="00F1209F"/>
    <w:rsid w:val="00F130E9"/>
    <w:rsid w:val="00F246B1"/>
    <w:rsid w:val="00F26B9A"/>
    <w:rsid w:val="00F26C29"/>
    <w:rsid w:val="00F34A20"/>
    <w:rsid w:val="00F462D3"/>
    <w:rsid w:val="00F52EE1"/>
    <w:rsid w:val="00F60A60"/>
    <w:rsid w:val="00F6293B"/>
    <w:rsid w:val="00F64701"/>
    <w:rsid w:val="00F71F6A"/>
    <w:rsid w:val="00F72142"/>
    <w:rsid w:val="00F73697"/>
    <w:rsid w:val="00F743C9"/>
    <w:rsid w:val="00F86BC7"/>
    <w:rsid w:val="00FA5C70"/>
    <w:rsid w:val="00FA6C6C"/>
    <w:rsid w:val="00FA7067"/>
    <w:rsid w:val="00FB2369"/>
    <w:rsid w:val="00FB3A4D"/>
    <w:rsid w:val="00FD17C8"/>
    <w:rsid w:val="00FD38F0"/>
    <w:rsid w:val="00FF0420"/>
    <w:rsid w:val="00FF1F08"/>
    <w:rsid w:val="00FF45A6"/>
    <w:rsid w:val="00FF67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F4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E1895"/>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Policepardfaut"/>
    <w:rsid w:val="00142784"/>
  </w:style>
  <w:style w:type="paragraph" w:styleId="Sansinterligne">
    <w:name w:val="No Spacing"/>
    <w:link w:val="SansinterligneCar"/>
    <w:uiPriority w:val="1"/>
    <w:qFormat/>
    <w:rsid w:val="00D57B7C"/>
    <w:pPr>
      <w:spacing w:after="0" w:line="240" w:lineRule="auto"/>
    </w:pPr>
    <w:rPr>
      <w:rFonts w:ascii="Calibri" w:hAnsi="Calibri" w:cs="Tahoma"/>
      <w:kern w:val="22"/>
    </w:rPr>
  </w:style>
  <w:style w:type="character" w:customStyle="1" w:styleId="SansinterligneCar">
    <w:name w:val="Sans interligne Car"/>
    <w:basedOn w:val="Policepardfaut"/>
    <w:link w:val="Sansinterligne"/>
    <w:uiPriority w:val="1"/>
    <w:rsid w:val="00D57B7C"/>
    <w:rPr>
      <w:rFonts w:ascii="Calibri" w:hAnsi="Calibri" w:cs="Tahoma"/>
      <w:kern w:val="22"/>
    </w:rPr>
  </w:style>
  <w:style w:type="paragraph" w:styleId="En-tte">
    <w:name w:val="header"/>
    <w:basedOn w:val="Normal"/>
    <w:link w:val="En-tteCar"/>
    <w:uiPriority w:val="99"/>
    <w:semiHidden/>
    <w:unhideWhenUsed/>
    <w:rsid w:val="003A1A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1AA6"/>
  </w:style>
  <w:style w:type="paragraph" w:styleId="Pieddepage">
    <w:name w:val="footer"/>
    <w:basedOn w:val="Normal"/>
    <w:link w:val="PieddepageCar"/>
    <w:uiPriority w:val="99"/>
    <w:semiHidden/>
    <w:unhideWhenUsed/>
    <w:rsid w:val="003A1A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1AA6"/>
  </w:style>
  <w:style w:type="paragraph" w:styleId="Textedebulles">
    <w:name w:val="Balloon Text"/>
    <w:basedOn w:val="Normal"/>
    <w:link w:val="TextedebullesCar"/>
    <w:uiPriority w:val="99"/>
    <w:semiHidden/>
    <w:unhideWhenUsed/>
    <w:rsid w:val="00E24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4E25"/>
    <w:rPr>
      <w:rFonts w:ascii="Tahoma" w:hAnsi="Tahoma" w:cs="Tahoma"/>
      <w:sz w:val="16"/>
      <w:szCs w:val="16"/>
    </w:rPr>
  </w:style>
  <w:style w:type="character" w:styleId="Lienhypertexte">
    <w:name w:val="Hyperlink"/>
    <w:basedOn w:val="Policepardfaut"/>
    <w:uiPriority w:val="99"/>
    <w:semiHidden/>
    <w:unhideWhenUsed/>
    <w:rsid w:val="00F60A60"/>
    <w:rPr>
      <w:color w:val="0000FF"/>
      <w:u w:val="single"/>
    </w:rPr>
  </w:style>
  <w:style w:type="paragraph" w:styleId="Paragraphedeliste">
    <w:name w:val="List Paragraph"/>
    <w:basedOn w:val="Normal"/>
    <w:uiPriority w:val="34"/>
    <w:qFormat/>
    <w:rsid w:val="009A2E12"/>
    <w:pPr>
      <w:ind w:left="720"/>
      <w:contextualSpacing/>
    </w:pPr>
  </w:style>
  <w:style w:type="table" w:customStyle="1" w:styleId="Tramemoyenne21">
    <w:name w:val="Trame moyenne 21"/>
    <w:basedOn w:val="TableauNormal"/>
    <w:uiPriority w:val="64"/>
    <w:rsid w:val="001C1BC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1C1BC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moyenne21">
    <w:name w:val="Liste moyenne 21"/>
    <w:basedOn w:val="TableauNormal"/>
    <w:uiPriority w:val="66"/>
    <w:rsid w:val="001C1BC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couleur-Accent1">
    <w:name w:val="Colorful Grid Accent 1"/>
    <w:basedOn w:val="TableauNormal"/>
    <w:uiPriority w:val="73"/>
    <w:rsid w:val="001C1BC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steclaire1">
    <w:name w:val="Liste claire1"/>
    <w:basedOn w:val="TableauNormal"/>
    <w:uiPriority w:val="61"/>
    <w:rsid w:val="001C1BC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moyenne1">
    <w:name w:val="Medium List 1"/>
    <w:basedOn w:val="TableauNormal"/>
    <w:uiPriority w:val="65"/>
    <w:rsid w:val="00CB0F6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Feuille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Feuille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view3D>
      <c:rotX val="30"/>
      <c:perspective val="30"/>
    </c:view3D>
    <c:plotArea>
      <c:layout/>
      <c:pie3DChart>
        <c:varyColors val="1"/>
        <c:ser>
          <c:idx val="0"/>
          <c:order val="0"/>
          <c:tx>
            <c:strRef>
              <c:f>Feuil1!$B$1</c:f>
              <c:strCache>
                <c:ptCount val="1"/>
                <c:pt idx="0">
                  <c:v>CSP </c:v>
                </c:pt>
              </c:strCache>
            </c:strRef>
          </c:tx>
          <c:spPr>
            <a:solidFill>
              <a:srgbClr val="D1A246"/>
            </a:solidFill>
          </c:spPr>
          <c:explosion val="25"/>
          <c:dPt>
            <c:idx val="0"/>
            <c:spPr>
              <a:solidFill>
                <a:srgbClr val="A3461A"/>
              </a:solidFill>
            </c:spPr>
          </c:dPt>
          <c:dPt>
            <c:idx val="1"/>
            <c:spPr>
              <a:solidFill>
                <a:srgbClr val="377D64"/>
              </a:solidFill>
            </c:spPr>
          </c:dPt>
          <c:dPt>
            <c:idx val="3"/>
            <c:spPr>
              <a:solidFill>
                <a:srgbClr val="A4B300"/>
              </a:solidFill>
            </c:spPr>
          </c:dPt>
          <c:dPt>
            <c:idx val="4"/>
            <c:spPr>
              <a:solidFill>
                <a:srgbClr val="F68600"/>
              </a:solidFill>
            </c:spPr>
          </c:dPt>
          <c:dPt>
            <c:idx val="5"/>
            <c:spPr>
              <a:solidFill>
                <a:srgbClr val="19A3FE"/>
              </a:solidFill>
            </c:spPr>
          </c:dPt>
          <c:dPt>
            <c:idx val="6"/>
            <c:spPr>
              <a:solidFill>
                <a:srgbClr val="7B48AD"/>
              </a:solidFill>
            </c:spPr>
          </c:dPt>
          <c:dPt>
            <c:idx val="7"/>
            <c:spPr>
              <a:solidFill>
                <a:srgbClr val="B25627"/>
              </a:solidFill>
            </c:spPr>
          </c:dPt>
          <c:dPt>
            <c:idx val="8"/>
            <c:spPr>
              <a:solidFill>
                <a:srgbClr val="F8F325"/>
              </a:solidFill>
            </c:spPr>
          </c:dPt>
          <c:dPt>
            <c:idx val="9"/>
            <c:spPr>
              <a:solidFill>
                <a:srgbClr val="6DAB8B"/>
              </a:solidFill>
            </c:spPr>
          </c:dPt>
          <c:dPt>
            <c:idx val="10"/>
            <c:spPr>
              <a:solidFill>
                <a:srgbClr val="E35A35"/>
              </a:solidFill>
            </c:spPr>
          </c:dPt>
          <c:dLbls>
            <c:txPr>
              <a:bodyPr/>
              <a:lstStyle/>
              <a:p>
                <a:pPr>
                  <a:defRPr b="1"/>
                </a:pPr>
                <a:endParaRPr lang="fr-FR"/>
              </a:p>
            </c:txPr>
            <c:showPercent val="1"/>
            <c:showLeaderLines val="1"/>
          </c:dLbls>
          <c:cat>
            <c:strRef>
              <c:f>Feuil1!$A$2:$A$12</c:f>
              <c:strCache>
                <c:ptCount val="11"/>
                <c:pt idx="0">
                  <c:v>Ménage - Entretien - Nettoyage</c:v>
                </c:pt>
                <c:pt idx="1">
                  <c:v>Fonctionnaire</c:v>
                </c:pt>
                <c:pt idx="2">
                  <c:v>BTP</c:v>
                </c:pt>
                <c:pt idx="3">
                  <c:v>Artisanat</c:v>
                </c:pt>
                <c:pt idx="4">
                  <c:v>Ouvrier qualifié</c:v>
                </c:pt>
                <c:pt idx="5">
                  <c:v>Chômage</c:v>
                </c:pt>
                <c:pt idx="6">
                  <c:v>Médico-social</c:v>
                </c:pt>
                <c:pt idx="7">
                  <c:v>Caissière</c:v>
                </c:pt>
                <c:pt idx="8">
                  <c:v>Garde d'enfants</c:v>
                </c:pt>
                <c:pt idx="9">
                  <c:v>Retraité</c:v>
                </c:pt>
                <c:pt idx="10">
                  <c:v>Sécurité</c:v>
                </c:pt>
              </c:strCache>
            </c:strRef>
          </c:cat>
          <c:val>
            <c:numRef>
              <c:f>Feuil1!$B$2:$B$12</c:f>
              <c:numCache>
                <c:formatCode>General</c:formatCode>
                <c:ptCount val="11"/>
                <c:pt idx="0">
                  <c:v>23</c:v>
                </c:pt>
                <c:pt idx="1">
                  <c:v>8</c:v>
                </c:pt>
                <c:pt idx="2">
                  <c:v>7</c:v>
                </c:pt>
                <c:pt idx="3">
                  <c:v>5</c:v>
                </c:pt>
                <c:pt idx="4">
                  <c:v>5</c:v>
                </c:pt>
                <c:pt idx="5">
                  <c:v>4</c:v>
                </c:pt>
                <c:pt idx="6">
                  <c:v>3</c:v>
                </c:pt>
                <c:pt idx="7">
                  <c:v>2</c:v>
                </c:pt>
                <c:pt idx="8">
                  <c:v>2</c:v>
                </c:pt>
                <c:pt idx="9">
                  <c:v>2</c:v>
                </c:pt>
                <c:pt idx="10">
                  <c:v>1</c:v>
                </c:pt>
              </c:numCache>
            </c:numRef>
          </c:val>
        </c:ser>
      </c:pie3DChart>
      <c:spPr>
        <a:noFill/>
        <a:ln w="25400">
          <a:noFill/>
        </a:ln>
      </c:spPr>
    </c:plotArea>
    <c:legend>
      <c:legendPos val="r"/>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en-US" sz="1000"/>
              <a:t>Vision de l'Ecole par les parents / A quoi sert l'Ecole</a:t>
            </a:r>
          </a:p>
        </c:rich>
      </c:tx>
    </c:title>
    <c:view3D>
      <c:rotX val="30"/>
      <c:perspective val="30"/>
    </c:view3D>
    <c:plotArea>
      <c:layout/>
      <c:pie3DChart>
        <c:varyColors val="1"/>
        <c:ser>
          <c:idx val="0"/>
          <c:order val="0"/>
          <c:tx>
            <c:strRef>
              <c:f>Feuil1!$B$1</c:f>
              <c:strCache>
                <c:ptCount val="1"/>
                <c:pt idx="0">
                  <c:v>Vision de l'Ecole par les parents / A quoi sert l'Ecole</c:v>
                </c:pt>
              </c:strCache>
            </c:strRef>
          </c:tx>
          <c:explosion val="25"/>
          <c:dPt>
            <c:idx val="0"/>
            <c:spPr>
              <a:solidFill>
                <a:srgbClr val="A4B300"/>
              </a:solidFill>
            </c:spPr>
          </c:dPt>
          <c:dPt>
            <c:idx val="1"/>
            <c:spPr>
              <a:solidFill>
                <a:srgbClr val="B25627"/>
              </a:solidFill>
            </c:spPr>
          </c:dPt>
          <c:dPt>
            <c:idx val="2"/>
            <c:spPr>
              <a:solidFill>
                <a:srgbClr val="377D64"/>
              </a:solidFill>
            </c:spPr>
          </c:dPt>
          <c:dPt>
            <c:idx val="3"/>
            <c:spPr>
              <a:solidFill>
                <a:srgbClr val="D1A246"/>
              </a:solidFill>
            </c:spPr>
          </c:dPt>
          <c:dPt>
            <c:idx val="4"/>
            <c:spPr>
              <a:solidFill>
                <a:srgbClr val="19A3FE"/>
              </a:solidFill>
            </c:spPr>
          </c:dPt>
          <c:dPt>
            <c:idx val="5"/>
            <c:spPr>
              <a:solidFill>
                <a:srgbClr val="F68600"/>
              </a:solidFill>
            </c:spPr>
          </c:dPt>
          <c:dPt>
            <c:idx val="6"/>
            <c:spPr>
              <a:solidFill>
                <a:srgbClr val="9D857B"/>
              </a:solidFill>
            </c:spPr>
          </c:dPt>
          <c:dLbls>
            <c:txPr>
              <a:bodyPr/>
              <a:lstStyle/>
              <a:p>
                <a:pPr>
                  <a:defRPr b="1"/>
                </a:pPr>
                <a:endParaRPr lang="fr-FR"/>
              </a:p>
            </c:txPr>
            <c:showPercent val="1"/>
            <c:showLeaderLines val="1"/>
          </c:dLbls>
          <c:cat>
            <c:strRef>
              <c:f>Feuil1!$A$2:$A$8</c:f>
              <c:strCache>
                <c:ptCount val="7"/>
                <c:pt idx="0">
                  <c:v>Avenir / Ascension sociale</c:v>
                </c:pt>
                <c:pt idx="1">
                  <c:v>Apprendre / Se former</c:v>
                </c:pt>
                <c:pt idx="2">
                  <c:v>Métier / Travail</c:v>
                </c:pt>
                <c:pt idx="3">
                  <c:v>Savoir / Connaissance </c:v>
                </c:pt>
                <c:pt idx="4">
                  <c:v>Intégration / Respect</c:v>
                </c:pt>
                <c:pt idx="5">
                  <c:v>Enrichissement</c:v>
                </c:pt>
                <c:pt idx="6">
                  <c:v>Obligation</c:v>
                </c:pt>
              </c:strCache>
            </c:strRef>
          </c:cat>
          <c:val>
            <c:numRef>
              <c:f>Feuil1!$B$2:$B$8</c:f>
              <c:numCache>
                <c:formatCode>General</c:formatCode>
                <c:ptCount val="7"/>
                <c:pt idx="0">
                  <c:v>22</c:v>
                </c:pt>
                <c:pt idx="1">
                  <c:v>21</c:v>
                </c:pt>
                <c:pt idx="2">
                  <c:v>15</c:v>
                </c:pt>
                <c:pt idx="3">
                  <c:v>14</c:v>
                </c:pt>
                <c:pt idx="4">
                  <c:v>8</c:v>
                </c:pt>
                <c:pt idx="5">
                  <c:v>4</c:v>
                </c:pt>
                <c:pt idx="6">
                  <c:v>1</c:v>
                </c:pt>
              </c:numCache>
            </c:numRef>
          </c:val>
        </c:ser>
      </c:pie3DChart>
      <c:spPr>
        <a:noFill/>
        <a:ln w="25401">
          <a:noFill/>
        </a:ln>
      </c:spPr>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view3D>
      <c:depthPercent val="100"/>
      <c:rAngAx val="1"/>
    </c:view3D>
    <c:plotArea>
      <c:layout/>
      <c:bar3DChart>
        <c:barDir val="col"/>
        <c:grouping val="clustered"/>
        <c:ser>
          <c:idx val="0"/>
          <c:order val="0"/>
          <c:tx>
            <c:strRef>
              <c:f>Feuil1!$B$1</c:f>
              <c:strCache>
                <c:ptCount val="1"/>
                <c:pt idx="0">
                  <c:v>Non qualifié</c:v>
                </c:pt>
              </c:strCache>
            </c:strRef>
          </c:tx>
          <c:spPr>
            <a:solidFill>
              <a:srgbClr val="377D64"/>
            </a:solidFill>
          </c:spPr>
          <c:dLbls>
            <c:txPr>
              <a:bodyPr/>
              <a:lstStyle/>
              <a:p>
                <a:pPr>
                  <a:defRPr b="1"/>
                </a:pPr>
                <a:endParaRPr lang="fr-FR"/>
              </a:p>
            </c:txPr>
            <c:showVal val="1"/>
          </c:dLbls>
          <c:cat>
            <c:strRef>
              <c:f>Feuil1!$A$2:$A$5</c:f>
              <c:strCache>
                <c:ptCount val="4"/>
                <c:pt idx="0">
                  <c:v>Souvent et régulièrement</c:v>
                </c:pt>
                <c:pt idx="1">
                  <c:v>De temps en temps</c:v>
                </c:pt>
                <c:pt idx="2">
                  <c:v>Rarement</c:v>
                </c:pt>
                <c:pt idx="3">
                  <c:v>Jamais</c:v>
                </c:pt>
              </c:strCache>
            </c:strRef>
          </c:cat>
          <c:val>
            <c:numRef>
              <c:f>Feuil1!$B$2:$B$5</c:f>
              <c:numCache>
                <c:formatCode>General</c:formatCode>
                <c:ptCount val="4"/>
                <c:pt idx="0">
                  <c:v>27.8</c:v>
                </c:pt>
                <c:pt idx="1">
                  <c:v>36.800000000000004</c:v>
                </c:pt>
                <c:pt idx="2">
                  <c:v>44.4</c:v>
                </c:pt>
                <c:pt idx="3">
                  <c:v>54.6</c:v>
                </c:pt>
              </c:numCache>
            </c:numRef>
          </c:val>
        </c:ser>
        <c:ser>
          <c:idx val="1"/>
          <c:order val="1"/>
          <c:tx>
            <c:strRef>
              <c:f>Feuil1!$C$1</c:f>
              <c:strCache>
                <c:ptCount val="1"/>
                <c:pt idx="0">
                  <c:v>Haute qualification</c:v>
                </c:pt>
              </c:strCache>
            </c:strRef>
          </c:tx>
          <c:spPr>
            <a:solidFill>
              <a:srgbClr val="A3461A"/>
            </a:solidFill>
          </c:spPr>
          <c:dLbls>
            <c:txPr>
              <a:bodyPr/>
              <a:lstStyle/>
              <a:p>
                <a:pPr>
                  <a:defRPr b="1"/>
                </a:pPr>
                <a:endParaRPr lang="fr-FR"/>
              </a:p>
            </c:txPr>
            <c:showVal val="1"/>
          </c:dLbls>
          <c:cat>
            <c:strRef>
              <c:f>Feuil1!$A$2:$A$5</c:f>
              <c:strCache>
                <c:ptCount val="4"/>
                <c:pt idx="0">
                  <c:v>Souvent et régulièrement</c:v>
                </c:pt>
                <c:pt idx="1">
                  <c:v>De temps en temps</c:v>
                </c:pt>
                <c:pt idx="2">
                  <c:v>Rarement</c:v>
                </c:pt>
                <c:pt idx="3">
                  <c:v>Jamais</c:v>
                </c:pt>
              </c:strCache>
            </c:strRef>
          </c:cat>
          <c:val>
            <c:numRef>
              <c:f>Feuil1!$C$2:$C$5</c:f>
              <c:numCache>
                <c:formatCode>General</c:formatCode>
                <c:ptCount val="4"/>
                <c:pt idx="0">
                  <c:v>38.9</c:v>
                </c:pt>
                <c:pt idx="1">
                  <c:v>21.1</c:v>
                </c:pt>
              </c:numCache>
            </c:numRef>
          </c:val>
        </c:ser>
        <c:ser>
          <c:idx val="2"/>
          <c:order val="2"/>
          <c:tx>
            <c:strRef>
              <c:f>Feuil1!$D$1</c:f>
              <c:strCache>
                <c:ptCount val="1"/>
                <c:pt idx="0">
                  <c:v>emploi qualifié</c:v>
                </c:pt>
              </c:strCache>
            </c:strRef>
          </c:tx>
          <c:spPr>
            <a:solidFill>
              <a:srgbClr val="A4B300"/>
            </a:solidFill>
          </c:spPr>
          <c:dLbls>
            <c:txPr>
              <a:bodyPr/>
              <a:lstStyle/>
              <a:p>
                <a:pPr>
                  <a:defRPr b="1"/>
                </a:pPr>
                <a:endParaRPr lang="fr-FR"/>
              </a:p>
            </c:txPr>
            <c:showVal val="1"/>
          </c:dLbls>
          <c:cat>
            <c:strRef>
              <c:f>Feuil1!$A$2:$A$5</c:f>
              <c:strCache>
                <c:ptCount val="4"/>
                <c:pt idx="0">
                  <c:v>Souvent et régulièrement</c:v>
                </c:pt>
                <c:pt idx="1">
                  <c:v>De temps en temps</c:v>
                </c:pt>
                <c:pt idx="2">
                  <c:v>Rarement</c:v>
                </c:pt>
                <c:pt idx="3">
                  <c:v>Jamais</c:v>
                </c:pt>
              </c:strCache>
            </c:strRef>
          </c:cat>
          <c:val>
            <c:numRef>
              <c:f>Feuil1!$D$2:$D$5</c:f>
              <c:numCache>
                <c:formatCode>General</c:formatCode>
                <c:ptCount val="4"/>
                <c:pt idx="0">
                  <c:v>16.7</c:v>
                </c:pt>
                <c:pt idx="1">
                  <c:v>36.800000000000004</c:v>
                </c:pt>
                <c:pt idx="2">
                  <c:v>27.8</c:v>
                </c:pt>
                <c:pt idx="3">
                  <c:v>36.4</c:v>
                </c:pt>
              </c:numCache>
            </c:numRef>
          </c:val>
        </c:ser>
        <c:ser>
          <c:idx val="3"/>
          <c:order val="3"/>
          <c:tx>
            <c:strRef>
              <c:f>Feuil1!$E$1</c:f>
              <c:strCache>
                <c:ptCount val="1"/>
                <c:pt idx="0">
                  <c:v>inactivité</c:v>
                </c:pt>
              </c:strCache>
            </c:strRef>
          </c:tx>
          <c:spPr>
            <a:solidFill>
              <a:srgbClr val="D1A246"/>
            </a:solidFill>
          </c:spPr>
          <c:dLbls>
            <c:txPr>
              <a:bodyPr/>
              <a:lstStyle/>
              <a:p>
                <a:pPr>
                  <a:defRPr b="1"/>
                </a:pPr>
                <a:endParaRPr lang="fr-FR"/>
              </a:p>
            </c:txPr>
            <c:showVal val="1"/>
          </c:dLbls>
          <c:cat>
            <c:strRef>
              <c:f>Feuil1!$A$2:$A$5</c:f>
              <c:strCache>
                <c:ptCount val="4"/>
                <c:pt idx="0">
                  <c:v>Souvent et régulièrement</c:v>
                </c:pt>
                <c:pt idx="1">
                  <c:v>De temps en temps</c:v>
                </c:pt>
                <c:pt idx="2">
                  <c:v>Rarement</c:v>
                </c:pt>
                <c:pt idx="3">
                  <c:v>Jamais</c:v>
                </c:pt>
              </c:strCache>
            </c:strRef>
          </c:cat>
          <c:val>
            <c:numRef>
              <c:f>Feuil1!$E$2:$E$5</c:f>
              <c:numCache>
                <c:formatCode>General</c:formatCode>
                <c:ptCount val="4"/>
                <c:pt idx="0">
                  <c:v>16.7</c:v>
                </c:pt>
                <c:pt idx="1">
                  <c:v>5.3</c:v>
                </c:pt>
                <c:pt idx="2">
                  <c:v>27.8</c:v>
                </c:pt>
                <c:pt idx="3">
                  <c:v>9.1</c:v>
                </c:pt>
              </c:numCache>
            </c:numRef>
          </c:val>
        </c:ser>
        <c:shape val="box"/>
        <c:axId val="100997376"/>
        <c:axId val="120258560"/>
        <c:axId val="0"/>
      </c:bar3DChart>
      <c:catAx>
        <c:axId val="100997376"/>
        <c:scaling>
          <c:orientation val="minMax"/>
        </c:scaling>
        <c:axPos val="b"/>
        <c:numFmt formatCode="General" sourceLinked="1"/>
        <c:tickLblPos val="nextTo"/>
        <c:crossAx val="120258560"/>
        <c:crosses val="autoZero"/>
        <c:auto val="1"/>
        <c:lblAlgn val="ctr"/>
        <c:lblOffset val="100"/>
      </c:catAx>
      <c:valAx>
        <c:axId val="120258560"/>
        <c:scaling>
          <c:orientation val="minMax"/>
        </c:scaling>
        <c:axPos val="l"/>
        <c:majorGridlines/>
        <c:numFmt formatCode="General" sourceLinked="1"/>
        <c:tickLblPos val="nextTo"/>
        <c:crossAx val="100997376"/>
        <c:crosses val="autoZero"/>
        <c:crossBetween val="between"/>
      </c:valAx>
      <c:spPr>
        <a:noFill/>
        <a:ln w="25401">
          <a:noFill/>
        </a:ln>
      </c:spPr>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view3D>
      <c:rotX val="30"/>
      <c:perspective val="30"/>
    </c:view3D>
    <c:plotArea>
      <c:layout>
        <c:manualLayout>
          <c:layoutTarget val="inner"/>
          <c:xMode val="edge"/>
          <c:yMode val="edge"/>
          <c:x val="1.3375134581363041E-3"/>
          <c:y val="0.21759189095329617"/>
          <c:w val="0.53176758013263536"/>
          <c:h val="0.69181488339242969"/>
        </c:manualLayout>
      </c:layout>
      <c:pie3DChart>
        <c:varyColors val="1"/>
        <c:ser>
          <c:idx val="0"/>
          <c:order val="0"/>
          <c:tx>
            <c:strRef>
              <c:f>Feuil1!$B$1</c:f>
              <c:strCache>
                <c:ptCount val="1"/>
                <c:pt idx="0">
                  <c:v>Origine du soutien scolaire </c:v>
                </c:pt>
              </c:strCache>
            </c:strRef>
          </c:tx>
          <c:explosion val="25"/>
          <c:dPt>
            <c:idx val="0"/>
            <c:spPr>
              <a:solidFill>
                <a:srgbClr val="B25627"/>
              </a:solidFill>
            </c:spPr>
          </c:dPt>
          <c:dPt>
            <c:idx val="1"/>
            <c:spPr>
              <a:solidFill>
                <a:srgbClr val="377D64"/>
              </a:solidFill>
            </c:spPr>
          </c:dPt>
          <c:dPt>
            <c:idx val="3"/>
            <c:spPr>
              <a:solidFill>
                <a:srgbClr val="D1A246"/>
              </a:solidFill>
            </c:spPr>
          </c:dPt>
          <c:dPt>
            <c:idx val="4"/>
            <c:spPr>
              <a:solidFill>
                <a:srgbClr val="19A3FE"/>
              </a:solidFill>
            </c:spPr>
          </c:dPt>
          <c:dPt>
            <c:idx val="5"/>
            <c:spPr>
              <a:solidFill>
                <a:srgbClr val="F68600"/>
              </a:solidFill>
            </c:spPr>
          </c:dPt>
          <c:dPt>
            <c:idx val="6"/>
            <c:spPr>
              <a:solidFill>
                <a:srgbClr val="7B48AD"/>
              </a:solidFill>
            </c:spPr>
          </c:dPt>
          <c:dLbls>
            <c:txPr>
              <a:bodyPr/>
              <a:lstStyle/>
              <a:p>
                <a:pPr>
                  <a:defRPr b="1"/>
                </a:pPr>
                <a:endParaRPr lang="fr-FR"/>
              </a:p>
            </c:txPr>
            <c:showPercent val="1"/>
            <c:showLeaderLines val="1"/>
          </c:dLbls>
          <c:cat>
            <c:strRef>
              <c:f>Feuil1!$A$2:$A$8</c:f>
              <c:strCache>
                <c:ptCount val="7"/>
                <c:pt idx="0">
                  <c:v>Les parents</c:v>
                </c:pt>
                <c:pt idx="1">
                  <c:v>L'établissement scolaire / Professeurs, directeurs d'établissement </c:v>
                </c:pt>
                <c:pt idx="2">
                  <c:v>Les frères et sœurs</c:v>
                </c:pt>
                <c:pt idx="3">
                  <c:v>Les parents et l'établissement</c:v>
                </c:pt>
                <c:pt idx="4">
                  <c:v>Associations / Centres de loisirs</c:v>
                </c:pt>
                <c:pt idx="5">
                  <c:v>Les enfants eux-mêmes</c:v>
                </c:pt>
                <c:pt idx="6">
                  <c:v>Aucun soutien demandé</c:v>
                </c:pt>
              </c:strCache>
            </c:strRef>
          </c:cat>
          <c:val>
            <c:numRef>
              <c:f>Feuil1!$B$2:$B$8</c:f>
              <c:numCache>
                <c:formatCode>General</c:formatCode>
                <c:ptCount val="7"/>
                <c:pt idx="0">
                  <c:v>34</c:v>
                </c:pt>
                <c:pt idx="1">
                  <c:v>17</c:v>
                </c:pt>
                <c:pt idx="2">
                  <c:v>6</c:v>
                </c:pt>
                <c:pt idx="3">
                  <c:v>6</c:v>
                </c:pt>
                <c:pt idx="4">
                  <c:v>5</c:v>
                </c:pt>
                <c:pt idx="5">
                  <c:v>3</c:v>
                </c:pt>
                <c:pt idx="6">
                  <c:v>2</c:v>
                </c:pt>
              </c:numCache>
            </c:numRef>
          </c:val>
        </c:ser>
      </c:pie3DChart>
      <c:spPr>
        <a:noFill/>
        <a:ln w="25392">
          <a:noFill/>
        </a:ln>
      </c:spPr>
    </c:plotArea>
    <c:legend>
      <c:legendPos val="r"/>
      <c:layout>
        <c:manualLayout>
          <c:xMode val="edge"/>
          <c:yMode val="edge"/>
          <c:x val="0.53038655114347266"/>
          <c:y val="0.19144901005021539"/>
          <c:w val="0.44332908881439331"/>
          <c:h val="0.69146565417186934"/>
        </c:manualLayout>
      </c:layout>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0.17436</cdr:x>
      <cdr:y>0.05621</cdr:y>
    </cdr:from>
    <cdr:to>
      <cdr:x>0.62051</cdr:x>
      <cdr:y>0.13905</cdr:y>
    </cdr:to>
    <cdr:sp macro="" textlink="">
      <cdr:nvSpPr>
        <cdr:cNvPr id="2" name="ZoneTexte 1"/>
        <cdr:cNvSpPr txBox="1"/>
      </cdr:nvSpPr>
      <cdr:spPr>
        <a:xfrm xmlns:a="http://schemas.openxmlformats.org/drawingml/2006/main">
          <a:off x="971550" y="180975"/>
          <a:ext cx="24860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b="1"/>
            <a:t>Secteurs</a:t>
          </a:r>
          <a:r>
            <a:rPr lang="fr-FR" sz="1100" b="1" baseline="0"/>
            <a:t> d'activités</a:t>
          </a:r>
          <a:endParaRPr lang="fr-FR" sz="1100" b="1"/>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88C5F-1B13-4E86-BBF6-7C65CE354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Pages>
  <Words>3092</Words>
  <Characters>17007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La « Scolarisation des enfants de migrants d’origine subsaharienne en France »</vt:lpstr>
    </vt:vector>
  </TitlesOfParts>
  <Company>grdr</Company>
  <LinksUpToDate>false</LinksUpToDate>
  <CharactersWithSpaces>20059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 Scolarisation des enfants de migrants d’origine subsaharienne en France »</dc:title>
  <dc:subject>Recherche-action réalisée par le GRDR – Migration, Citoyenneté, Développement</dc:subject>
  <dc:creator>2011/2012</dc:creator>
  <cp:lastModifiedBy>rricardou</cp:lastModifiedBy>
  <cp:revision>46</cp:revision>
  <cp:lastPrinted>2013-01-28T14:17:00Z</cp:lastPrinted>
  <dcterms:created xsi:type="dcterms:W3CDTF">2012-10-15T07:29:00Z</dcterms:created>
  <dcterms:modified xsi:type="dcterms:W3CDTF">2013-02-04T15:37:00Z</dcterms:modified>
</cp:coreProperties>
</file>