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487" w:rsidRPr="002E574A" w:rsidRDefault="00415487" w:rsidP="00415487">
      <w:pPr>
        <w:rPr>
          <w:rFonts w:ascii="Times New Roman" w:hAnsi="Times New Roman" w:cs="Times New Roman"/>
          <w:b/>
          <w:sz w:val="32"/>
          <w:szCs w:val="32"/>
        </w:rPr>
      </w:pPr>
      <w:r w:rsidRPr="002E574A">
        <w:rPr>
          <w:rFonts w:ascii="Times New Roman" w:hAnsi="Times New Roman" w:cs="Times New Roman"/>
          <w:b/>
          <w:sz w:val="32"/>
          <w:szCs w:val="32"/>
        </w:rPr>
        <w:t>L’école</w:t>
      </w:r>
      <w:r w:rsidR="00100A69" w:rsidRPr="002E574A">
        <w:rPr>
          <w:rFonts w:ascii="Times New Roman" w:hAnsi="Times New Roman" w:cs="Times New Roman"/>
          <w:b/>
          <w:sz w:val="32"/>
          <w:szCs w:val="32"/>
        </w:rPr>
        <w:t xml:space="preserve"> en mode décentralisée sous</w:t>
      </w:r>
      <w:r w:rsidRPr="002E574A">
        <w:rPr>
          <w:rFonts w:ascii="Times New Roman" w:hAnsi="Times New Roman" w:cs="Times New Roman"/>
          <w:b/>
          <w:sz w:val="32"/>
          <w:szCs w:val="32"/>
        </w:rPr>
        <w:t xml:space="preserve"> occupation  au Mali : une analyse des fractures pédagogiques</w:t>
      </w:r>
    </w:p>
    <w:p w:rsidR="000A06B0" w:rsidRDefault="00415487" w:rsidP="00415487">
      <w:pPr>
        <w:rPr>
          <w:rFonts w:ascii="Times New Roman" w:hAnsi="Times New Roman" w:cs="Times New Roman"/>
          <w:b/>
          <w:sz w:val="24"/>
          <w:szCs w:val="24"/>
        </w:rPr>
      </w:pPr>
      <w:r w:rsidRPr="00DA484C">
        <w:rPr>
          <w:rFonts w:ascii="Times New Roman" w:hAnsi="Times New Roman" w:cs="Times New Roman"/>
          <w:b/>
          <w:sz w:val="24"/>
          <w:szCs w:val="24"/>
        </w:rPr>
        <w:t xml:space="preserve">Idrissa </w:t>
      </w:r>
      <w:proofErr w:type="spellStart"/>
      <w:r w:rsidRPr="00DA484C">
        <w:rPr>
          <w:rFonts w:ascii="Times New Roman" w:hAnsi="Times New Roman" w:cs="Times New Roman"/>
          <w:b/>
          <w:sz w:val="24"/>
          <w:szCs w:val="24"/>
        </w:rPr>
        <w:t>Soïba</w:t>
      </w:r>
      <w:proofErr w:type="spellEnd"/>
      <w:r w:rsidRPr="00DA484C">
        <w:rPr>
          <w:rFonts w:ascii="Times New Roman" w:hAnsi="Times New Roman" w:cs="Times New Roman"/>
          <w:b/>
          <w:sz w:val="24"/>
          <w:szCs w:val="24"/>
        </w:rPr>
        <w:t xml:space="preserve"> TRAORE, Enseignant Chercheur à l’Université des Lettres et des Sciences Humaines de Bamako</w:t>
      </w:r>
      <w:r w:rsidR="000A06B0">
        <w:rPr>
          <w:rFonts w:ascii="Times New Roman" w:hAnsi="Times New Roman" w:cs="Times New Roman"/>
          <w:b/>
          <w:sz w:val="24"/>
          <w:szCs w:val="24"/>
        </w:rPr>
        <w:t>.</w:t>
      </w:r>
    </w:p>
    <w:p w:rsidR="00415487" w:rsidRPr="000E3DB3" w:rsidRDefault="00286DDB" w:rsidP="000E3DB3">
      <w:pPr>
        <w:spacing w:line="240" w:lineRule="auto"/>
        <w:jc w:val="both"/>
        <w:rPr>
          <w:rFonts w:ascii="Times New Roman" w:hAnsi="Times New Roman" w:cs="Times New Roman"/>
          <w:sz w:val="24"/>
          <w:szCs w:val="24"/>
        </w:rPr>
      </w:pPr>
      <w:r w:rsidRPr="000E3DB3">
        <w:rPr>
          <w:rFonts w:ascii="Times New Roman" w:hAnsi="Times New Roman" w:cs="Times New Roman"/>
          <w:sz w:val="24"/>
          <w:szCs w:val="24"/>
        </w:rPr>
        <w:t>A l’instar des pays de l’OCDE, le Mali a adopté une politique de décentralisation de l’éducation à partir de 2003, tournant le dos au règne de l’omnipotence de l’Etat en matière d’éducation. Le modèle malien correspond à ce que Nathalie Mons</w:t>
      </w:r>
      <w:r w:rsidR="000E3DB3">
        <w:rPr>
          <w:rFonts w:ascii="Times New Roman" w:hAnsi="Times New Roman" w:cs="Times New Roman"/>
          <w:sz w:val="24"/>
          <w:szCs w:val="24"/>
        </w:rPr>
        <w:t xml:space="preserve"> (2006)</w:t>
      </w:r>
      <w:r w:rsidRPr="000E3DB3">
        <w:rPr>
          <w:rFonts w:ascii="Times New Roman" w:hAnsi="Times New Roman" w:cs="Times New Roman"/>
          <w:sz w:val="24"/>
          <w:szCs w:val="24"/>
        </w:rPr>
        <w:t xml:space="preserve"> dans son article : « Gouvernance locale et performances des élèves : Que nous enseignent les comparaisons internationales ? » a appelé le « modèle de collaboration ». Dans ce modèle, l’Etat loin de s’effacer : « continue de maîtriser la régulation du système par des cadres procéduraux nationaux très contraignants (définition d’un cadre national pour les programmes scolaires, pour les conditions d’embauche, de service et les salaires des enseignants...) »</w:t>
      </w:r>
      <w:r w:rsidR="000E3DB3">
        <w:rPr>
          <w:rFonts w:ascii="Times New Roman" w:hAnsi="Times New Roman" w:cs="Times New Roman"/>
          <w:sz w:val="24"/>
          <w:szCs w:val="24"/>
        </w:rPr>
        <w:t xml:space="preserve"> (Mons, 2006 : 124)</w:t>
      </w:r>
      <w:r w:rsidRPr="000E3DB3">
        <w:rPr>
          <w:rFonts w:ascii="Times New Roman" w:hAnsi="Times New Roman" w:cs="Times New Roman"/>
          <w:sz w:val="24"/>
          <w:szCs w:val="24"/>
        </w:rPr>
        <w:t xml:space="preserve"> </w:t>
      </w:r>
      <w:r w:rsidR="00513F77" w:rsidRPr="000E3DB3">
        <w:rPr>
          <w:rFonts w:ascii="Times New Roman" w:hAnsi="Times New Roman" w:cs="Times New Roman"/>
          <w:sz w:val="24"/>
          <w:szCs w:val="24"/>
        </w:rPr>
        <w:t xml:space="preserve">Les collectivités locales et les établissements scolaires deviennent des lieux de mise en œuvre des actes de la décentralisation à travers les tâches qui sont les siennes (programmes scolaires, recrutement des enseignants, financement...). Toutefois, l’Etat reste aux aguets par le simple fait qu’il devient le garant de l’uniformité de l’enseignement aux côtés des autres acteurs auxquels sont confiés des compétences déterminées. Ces positions soutenues par Traoré (2011) dépendent essentiellement du contexte même national. Il est logique de constater qu’avec l’occupation des régions du Nord du Mali, le pouvoir </w:t>
      </w:r>
      <w:proofErr w:type="spellStart"/>
      <w:r w:rsidR="00513F77" w:rsidRPr="000E3DB3">
        <w:rPr>
          <w:rFonts w:ascii="Times New Roman" w:hAnsi="Times New Roman" w:cs="Times New Roman"/>
          <w:sz w:val="24"/>
          <w:szCs w:val="24"/>
        </w:rPr>
        <w:t>jihadiste</w:t>
      </w:r>
      <w:proofErr w:type="spellEnd"/>
      <w:r w:rsidR="00513F77" w:rsidRPr="000E3DB3">
        <w:rPr>
          <w:rFonts w:ascii="Times New Roman" w:hAnsi="Times New Roman" w:cs="Times New Roman"/>
          <w:sz w:val="24"/>
          <w:szCs w:val="24"/>
        </w:rPr>
        <w:t xml:space="preserve"> par</w:t>
      </w:r>
      <w:r w:rsidR="00F40342" w:rsidRPr="000E3DB3">
        <w:rPr>
          <w:rFonts w:ascii="Times New Roman" w:hAnsi="Times New Roman" w:cs="Times New Roman"/>
          <w:sz w:val="24"/>
          <w:szCs w:val="24"/>
        </w:rPr>
        <w:t xml:space="preserve"> son contrôle de l’institution scolaire a donné à celle-ci une reconfiguration. C’est dire que la politique de décentralisation prend une facette autre que celle définie par l’Etat quand le contexte change. Nous analyserons ce changement à partir surtout des dispositifs pédagogiques car il y a bien fractures à ce niveau quand il y a rupture entre l’institutionnel et la réalité du terrain. Une autre dimension de cette fracture plus visible dans les classes a été l’application de nouvelles mesures qui vont à l’encontre de la laïcité des écoles. Il s’ensuit aussi des dispositions intermédiaires pour faire face à l’urgence</w:t>
      </w:r>
      <w:r w:rsidRPr="000E3DB3">
        <w:rPr>
          <w:rFonts w:ascii="Times New Roman" w:hAnsi="Times New Roman" w:cs="Times New Roman"/>
          <w:sz w:val="24"/>
          <w:szCs w:val="24"/>
        </w:rPr>
        <w:t xml:space="preserve"> et une absence des enseignants, source de blocage de l’institution scolaire.</w:t>
      </w:r>
      <w:r w:rsidRPr="000E3DB3">
        <w:rPr>
          <w:rFonts w:ascii="Times New Roman" w:hAnsi="Times New Roman" w:cs="Times New Roman"/>
          <w:color w:val="00B050"/>
          <w:sz w:val="24"/>
          <w:szCs w:val="24"/>
        </w:rPr>
        <w:t xml:space="preserve"> </w:t>
      </w:r>
      <w:r w:rsidRPr="000E3DB3">
        <w:rPr>
          <w:rFonts w:ascii="Times New Roman" w:hAnsi="Times New Roman" w:cs="Times New Roman"/>
          <w:sz w:val="24"/>
          <w:szCs w:val="24"/>
        </w:rPr>
        <w:t xml:space="preserve">Dans l’ensemble, l’état des lieux montre que les cours ont été dispensés de la même manière que la période </w:t>
      </w:r>
      <w:proofErr w:type="spellStart"/>
      <w:r w:rsidRPr="000E3DB3">
        <w:rPr>
          <w:rFonts w:ascii="Times New Roman" w:hAnsi="Times New Roman" w:cs="Times New Roman"/>
          <w:sz w:val="24"/>
          <w:szCs w:val="24"/>
        </w:rPr>
        <w:t>anté-crise</w:t>
      </w:r>
      <w:proofErr w:type="spellEnd"/>
      <w:r w:rsidRPr="000E3DB3">
        <w:rPr>
          <w:rFonts w:ascii="Times New Roman" w:hAnsi="Times New Roman" w:cs="Times New Roman"/>
          <w:sz w:val="24"/>
          <w:szCs w:val="24"/>
        </w:rPr>
        <w:t xml:space="preserve">. Toutefois, des perturbations constantes des </w:t>
      </w:r>
      <w:proofErr w:type="spellStart"/>
      <w:r w:rsidRPr="000E3DB3">
        <w:rPr>
          <w:rFonts w:ascii="Times New Roman" w:hAnsi="Times New Roman" w:cs="Times New Roman"/>
          <w:sz w:val="24"/>
          <w:szCs w:val="24"/>
        </w:rPr>
        <w:t>jihadistes</w:t>
      </w:r>
      <w:proofErr w:type="spellEnd"/>
      <w:r w:rsidRPr="000E3DB3">
        <w:rPr>
          <w:rFonts w:ascii="Times New Roman" w:hAnsi="Times New Roman" w:cs="Times New Roman"/>
          <w:sz w:val="24"/>
          <w:szCs w:val="24"/>
        </w:rPr>
        <w:t xml:space="preserve"> même dans les salles de classes en vue essentiellement de démotiver les filles à venir à l’école sont signalées. La participation des apprenants aux cours étaient très timides à cause de la peur et des </w:t>
      </w:r>
      <w:r w:rsidR="00C65B05" w:rsidRPr="000E3DB3">
        <w:rPr>
          <w:rFonts w:ascii="Times New Roman" w:hAnsi="Times New Roman" w:cs="Times New Roman"/>
          <w:sz w:val="24"/>
          <w:szCs w:val="24"/>
        </w:rPr>
        <w:t>« </w:t>
      </w:r>
      <w:r w:rsidRPr="000E3DB3">
        <w:rPr>
          <w:rFonts w:ascii="Times New Roman" w:hAnsi="Times New Roman" w:cs="Times New Roman"/>
          <w:sz w:val="24"/>
          <w:szCs w:val="24"/>
        </w:rPr>
        <w:t xml:space="preserve">sanctions </w:t>
      </w:r>
      <w:proofErr w:type="spellStart"/>
      <w:r w:rsidRPr="000E3DB3">
        <w:rPr>
          <w:rFonts w:ascii="Times New Roman" w:hAnsi="Times New Roman" w:cs="Times New Roman"/>
          <w:sz w:val="24"/>
          <w:szCs w:val="24"/>
        </w:rPr>
        <w:t>jihadistes</w:t>
      </w:r>
      <w:proofErr w:type="spellEnd"/>
      <w:r w:rsidR="00C65B05" w:rsidRPr="000E3DB3">
        <w:rPr>
          <w:rFonts w:ascii="Times New Roman" w:hAnsi="Times New Roman" w:cs="Times New Roman"/>
          <w:sz w:val="24"/>
          <w:szCs w:val="24"/>
        </w:rPr>
        <w:t> »</w:t>
      </w:r>
      <w:r w:rsidRPr="000E3DB3">
        <w:rPr>
          <w:rFonts w:ascii="Times New Roman" w:hAnsi="Times New Roman" w:cs="Times New Roman"/>
          <w:sz w:val="24"/>
          <w:szCs w:val="24"/>
        </w:rPr>
        <w:t>. La destruction des équipements et outils pédagogiques, l’arrêt brusque de la couverture pédagogique</w:t>
      </w:r>
      <w:r w:rsidR="00C65B05" w:rsidRPr="000E3DB3">
        <w:rPr>
          <w:rFonts w:ascii="Times New Roman" w:hAnsi="Times New Roman" w:cs="Times New Roman"/>
          <w:sz w:val="24"/>
          <w:szCs w:val="24"/>
        </w:rPr>
        <w:t xml:space="preserve"> sont à signaler</w:t>
      </w:r>
      <w:r w:rsidRPr="000E3DB3">
        <w:rPr>
          <w:rFonts w:ascii="Times New Roman" w:hAnsi="Times New Roman" w:cs="Times New Roman"/>
          <w:sz w:val="24"/>
          <w:szCs w:val="24"/>
        </w:rPr>
        <w:t xml:space="preserve"> à </w:t>
      </w:r>
      <w:proofErr w:type="spellStart"/>
      <w:r w:rsidRPr="000E3DB3">
        <w:rPr>
          <w:rFonts w:ascii="Times New Roman" w:hAnsi="Times New Roman" w:cs="Times New Roman"/>
          <w:sz w:val="24"/>
          <w:szCs w:val="24"/>
        </w:rPr>
        <w:t>Tessit</w:t>
      </w:r>
      <w:proofErr w:type="spellEnd"/>
      <w:r w:rsidRPr="000E3DB3">
        <w:rPr>
          <w:rFonts w:ascii="Times New Roman" w:hAnsi="Times New Roman" w:cs="Times New Roman"/>
          <w:sz w:val="24"/>
          <w:szCs w:val="24"/>
        </w:rPr>
        <w:t xml:space="preserve">. Un comité de crise fut constitué à Tombouctou pour veiller sur l’école pour la formation des apprenants, il entra en conflit avec les </w:t>
      </w:r>
      <w:proofErr w:type="spellStart"/>
      <w:r w:rsidRPr="000E3DB3">
        <w:rPr>
          <w:rFonts w:ascii="Times New Roman" w:hAnsi="Times New Roman" w:cs="Times New Roman"/>
          <w:sz w:val="24"/>
          <w:szCs w:val="24"/>
        </w:rPr>
        <w:t>jihadistes</w:t>
      </w:r>
      <w:proofErr w:type="spellEnd"/>
      <w:r w:rsidRPr="000E3DB3">
        <w:rPr>
          <w:rFonts w:ascii="Times New Roman" w:hAnsi="Times New Roman" w:cs="Times New Roman"/>
          <w:sz w:val="24"/>
          <w:szCs w:val="24"/>
        </w:rPr>
        <w:t xml:space="preserve"> mais parvint à organiser les examens de fin d’année. A </w:t>
      </w:r>
      <w:proofErr w:type="spellStart"/>
      <w:r w:rsidRPr="000E3DB3">
        <w:rPr>
          <w:rFonts w:ascii="Times New Roman" w:hAnsi="Times New Roman" w:cs="Times New Roman"/>
          <w:sz w:val="24"/>
          <w:szCs w:val="24"/>
        </w:rPr>
        <w:t>Tessit</w:t>
      </w:r>
      <w:proofErr w:type="spellEnd"/>
      <w:r w:rsidRPr="000E3DB3">
        <w:rPr>
          <w:rFonts w:ascii="Times New Roman" w:hAnsi="Times New Roman" w:cs="Times New Roman"/>
          <w:sz w:val="24"/>
          <w:szCs w:val="24"/>
        </w:rPr>
        <w:t>, l’école fut fermée pas longtemps et la reconquête des régions du Nord n’a guère contribuer à sa « restauration ». La suite des études jusqu’en juin 2015 a été caractérisée par des abandons massifs, un second cycle</w:t>
      </w:r>
      <w:r w:rsidR="00C65B05" w:rsidRPr="000E3DB3">
        <w:rPr>
          <w:rStyle w:val="Appelnotedebasdep"/>
          <w:rFonts w:ascii="Times New Roman" w:hAnsi="Times New Roman" w:cs="Times New Roman"/>
          <w:sz w:val="24"/>
          <w:szCs w:val="24"/>
        </w:rPr>
        <w:footnoteReference w:id="1"/>
      </w:r>
      <w:r w:rsidRPr="000E3DB3">
        <w:rPr>
          <w:rFonts w:ascii="Times New Roman" w:hAnsi="Times New Roman" w:cs="Times New Roman"/>
          <w:sz w:val="24"/>
          <w:szCs w:val="24"/>
        </w:rPr>
        <w:t xml:space="preserve"> qui fonctionne à présent avec un seul enseignant. Les élèves en classe d’examen sont échouent faute d’enseignants. </w:t>
      </w:r>
    </w:p>
    <w:p w:rsidR="0022150A" w:rsidRPr="000E3DB3" w:rsidRDefault="00100A69" w:rsidP="000E3DB3">
      <w:pPr>
        <w:spacing w:line="240" w:lineRule="auto"/>
        <w:jc w:val="both"/>
        <w:rPr>
          <w:rFonts w:ascii="Times New Roman" w:hAnsi="Times New Roman" w:cs="Times New Roman"/>
          <w:sz w:val="24"/>
          <w:szCs w:val="24"/>
        </w:rPr>
      </w:pPr>
      <w:r w:rsidRPr="000E3DB3">
        <w:rPr>
          <w:rFonts w:ascii="Times New Roman" w:hAnsi="Times New Roman" w:cs="Times New Roman"/>
          <w:sz w:val="24"/>
          <w:szCs w:val="24"/>
        </w:rPr>
        <w:t>La présente communication</w:t>
      </w:r>
      <w:r w:rsidR="00586EC3">
        <w:rPr>
          <w:rFonts w:ascii="Times New Roman" w:hAnsi="Times New Roman" w:cs="Times New Roman"/>
          <w:sz w:val="24"/>
          <w:szCs w:val="24"/>
        </w:rPr>
        <w:t xml:space="preserve"> s’inscrit dans l’axe 4 du colloque</w:t>
      </w:r>
      <w:r w:rsidRPr="000E3DB3">
        <w:rPr>
          <w:rFonts w:ascii="Times New Roman" w:hAnsi="Times New Roman" w:cs="Times New Roman"/>
          <w:sz w:val="24"/>
          <w:szCs w:val="24"/>
        </w:rPr>
        <w:t xml:space="preserve"> prend sa source dans un article en cours d’élaboration. Cet art</w:t>
      </w:r>
      <w:r w:rsidR="00813920" w:rsidRPr="000E3DB3">
        <w:rPr>
          <w:rFonts w:ascii="Times New Roman" w:hAnsi="Times New Roman" w:cs="Times New Roman"/>
          <w:sz w:val="24"/>
          <w:szCs w:val="24"/>
        </w:rPr>
        <w:t>icle se propose pour objectifs :</w:t>
      </w:r>
    </w:p>
    <w:p w:rsidR="0022150A" w:rsidRPr="000E3DB3" w:rsidRDefault="0022150A" w:rsidP="000E3DB3">
      <w:pPr>
        <w:pStyle w:val="Paragraphedeliste"/>
        <w:numPr>
          <w:ilvl w:val="0"/>
          <w:numId w:val="3"/>
        </w:numPr>
        <w:spacing w:line="240" w:lineRule="auto"/>
        <w:jc w:val="both"/>
        <w:rPr>
          <w:rFonts w:ascii="Times New Roman" w:hAnsi="Times New Roman" w:cs="Times New Roman"/>
          <w:sz w:val="24"/>
          <w:szCs w:val="24"/>
        </w:rPr>
      </w:pPr>
      <w:r w:rsidRPr="000E3DB3">
        <w:rPr>
          <w:rFonts w:ascii="Times New Roman" w:hAnsi="Times New Roman" w:cs="Times New Roman"/>
          <w:sz w:val="24"/>
          <w:szCs w:val="24"/>
        </w:rPr>
        <w:t xml:space="preserve"> </w:t>
      </w:r>
      <w:r w:rsidR="00813920" w:rsidRPr="000E3DB3">
        <w:rPr>
          <w:rFonts w:ascii="Times New Roman" w:hAnsi="Times New Roman" w:cs="Times New Roman"/>
          <w:sz w:val="24"/>
          <w:szCs w:val="24"/>
        </w:rPr>
        <w:t>D’a</w:t>
      </w:r>
      <w:r w:rsidRPr="000E3DB3">
        <w:rPr>
          <w:rFonts w:ascii="Times New Roman" w:hAnsi="Times New Roman" w:cs="Times New Roman"/>
          <w:sz w:val="24"/>
          <w:szCs w:val="24"/>
        </w:rPr>
        <w:t xml:space="preserve">nalyser la situation de l’école à Tombouctou et à </w:t>
      </w:r>
      <w:proofErr w:type="spellStart"/>
      <w:r w:rsidRPr="000E3DB3">
        <w:rPr>
          <w:rFonts w:ascii="Times New Roman" w:hAnsi="Times New Roman" w:cs="Times New Roman"/>
          <w:sz w:val="24"/>
          <w:szCs w:val="24"/>
        </w:rPr>
        <w:t>Tessit</w:t>
      </w:r>
      <w:proofErr w:type="spellEnd"/>
      <w:r w:rsidRPr="000E3DB3">
        <w:rPr>
          <w:rFonts w:ascii="Times New Roman" w:hAnsi="Times New Roman" w:cs="Times New Roman"/>
          <w:sz w:val="24"/>
          <w:szCs w:val="24"/>
        </w:rPr>
        <w:t xml:space="preserve"> (Gao) pendant l’occupation des régions du Nord du Mali.</w:t>
      </w:r>
    </w:p>
    <w:p w:rsidR="0022150A" w:rsidRPr="000E3DB3" w:rsidRDefault="00813920" w:rsidP="000E3DB3">
      <w:pPr>
        <w:pStyle w:val="Paragraphedeliste"/>
        <w:numPr>
          <w:ilvl w:val="0"/>
          <w:numId w:val="3"/>
        </w:numPr>
        <w:spacing w:line="240" w:lineRule="auto"/>
        <w:jc w:val="both"/>
        <w:rPr>
          <w:rFonts w:ascii="Times New Roman" w:hAnsi="Times New Roman" w:cs="Times New Roman"/>
          <w:sz w:val="24"/>
          <w:szCs w:val="24"/>
          <w:u w:val="single"/>
        </w:rPr>
      </w:pPr>
      <w:r w:rsidRPr="000E3DB3">
        <w:rPr>
          <w:rFonts w:ascii="Times New Roman" w:hAnsi="Times New Roman" w:cs="Times New Roman"/>
          <w:sz w:val="24"/>
          <w:szCs w:val="24"/>
        </w:rPr>
        <w:lastRenderedPageBreak/>
        <w:t>D’a</w:t>
      </w:r>
      <w:r w:rsidR="0022150A" w:rsidRPr="000E3DB3">
        <w:rPr>
          <w:rFonts w:ascii="Times New Roman" w:hAnsi="Times New Roman" w:cs="Times New Roman"/>
          <w:sz w:val="24"/>
          <w:szCs w:val="24"/>
        </w:rPr>
        <w:t xml:space="preserve">nalyser les conséquences de « l’école sous occupation » sur les examens du DEF au Groupe Scolaire BAHADOU et de </w:t>
      </w:r>
      <w:proofErr w:type="spellStart"/>
      <w:r w:rsidR="0022150A" w:rsidRPr="000E3DB3">
        <w:rPr>
          <w:rFonts w:ascii="Times New Roman" w:hAnsi="Times New Roman" w:cs="Times New Roman"/>
          <w:sz w:val="24"/>
          <w:szCs w:val="24"/>
        </w:rPr>
        <w:t>Tessit</w:t>
      </w:r>
      <w:proofErr w:type="spellEnd"/>
      <w:r w:rsidR="0022150A" w:rsidRPr="000E3DB3">
        <w:rPr>
          <w:rFonts w:ascii="Times New Roman" w:hAnsi="Times New Roman" w:cs="Times New Roman"/>
          <w:sz w:val="24"/>
          <w:szCs w:val="24"/>
        </w:rPr>
        <w:t>.</w:t>
      </w:r>
    </w:p>
    <w:p w:rsidR="00415487" w:rsidRPr="000E3DB3" w:rsidRDefault="00100A69" w:rsidP="000E3DB3">
      <w:pPr>
        <w:spacing w:line="240" w:lineRule="auto"/>
        <w:ind w:firstLine="708"/>
        <w:jc w:val="both"/>
        <w:rPr>
          <w:rFonts w:ascii="Times New Roman" w:hAnsi="Times New Roman" w:cs="Times New Roman"/>
          <w:sz w:val="24"/>
          <w:szCs w:val="24"/>
        </w:rPr>
      </w:pPr>
      <w:r w:rsidRPr="000E3DB3">
        <w:rPr>
          <w:rFonts w:ascii="Times New Roman" w:hAnsi="Times New Roman" w:cs="Times New Roman"/>
          <w:sz w:val="24"/>
          <w:szCs w:val="24"/>
        </w:rPr>
        <w:t xml:space="preserve">  </w:t>
      </w:r>
      <w:r w:rsidR="00415487" w:rsidRPr="000E3DB3">
        <w:rPr>
          <w:rFonts w:ascii="Times New Roman" w:hAnsi="Times New Roman" w:cs="Times New Roman"/>
          <w:sz w:val="24"/>
          <w:szCs w:val="24"/>
        </w:rPr>
        <w:t xml:space="preserve"> </w:t>
      </w:r>
      <w:r w:rsidR="0022150A" w:rsidRPr="000E3DB3">
        <w:rPr>
          <w:rFonts w:ascii="Times New Roman" w:hAnsi="Times New Roman" w:cs="Times New Roman"/>
          <w:sz w:val="24"/>
          <w:szCs w:val="24"/>
        </w:rPr>
        <w:t xml:space="preserve">Les </w:t>
      </w:r>
      <w:r w:rsidR="00415487" w:rsidRPr="000E3DB3">
        <w:rPr>
          <w:rFonts w:ascii="Times New Roman" w:hAnsi="Times New Roman" w:cs="Times New Roman"/>
          <w:sz w:val="24"/>
          <w:szCs w:val="24"/>
        </w:rPr>
        <w:t xml:space="preserve">deux communes </w:t>
      </w:r>
      <w:r w:rsidR="00813920" w:rsidRPr="000E3DB3">
        <w:rPr>
          <w:rFonts w:ascii="Times New Roman" w:hAnsi="Times New Roman" w:cs="Times New Roman"/>
          <w:sz w:val="24"/>
          <w:szCs w:val="24"/>
        </w:rPr>
        <w:t xml:space="preserve">choisies : </w:t>
      </w:r>
      <w:proofErr w:type="spellStart"/>
      <w:r w:rsidR="00813920" w:rsidRPr="000E3DB3">
        <w:rPr>
          <w:rFonts w:ascii="Times New Roman" w:hAnsi="Times New Roman" w:cs="Times New Roman"/>
          <w:sz w:val="24"/>
          <w:szCs w:val="24"/>
        </w:rPr>
        <w:t>Tessit</w:t>
      </w:r>
      <w:proofErr w:type="spellEnd"/>
      <w:r w:rsidR="00813920" w:rsidRPr="000E3DB3">
        <w:rPr>
          <w:rFonts w:ascii="Times New Roman" w:hAnsi="Times New Roman" w:cs="Times New Roman"/>
          <w:sz w:val="24"/>
          <w:szCs w:val="24"/>
        </w:rPr>
        <w:t xml:space="preserve"> et Tombouctou </w:t>
      </w:r>
      <w:r w:rsidR="00415487" w:rsidRPr="000E3DB3">
        <w:rPr>
          <w:rFonts w:ascii="Times New Roman" w:hAnsi="Times New Roman" w:cs="Times New Roman"/>
          <w:sz w:val="24"/>
          <w:szCs w:val="24"/>
        </w:rPr>
        <w:t xml:space="preserve">regorgent des écoles publiques, communautaires, des Centres d’Education pour le Développement et des Medersas. Elles présentent une cartographie identitaire du point de vue des difficultés : </w:t>
      </w:r>
    </w:p>
    <w:p w:rsidR="00415487" w:rsidRPr="000E3DB3" w:rsidRDefault="00415487" w:rsidP="000E3DB3">
      <w:pPr>
        <w:pStyle w:val="Paragraphedeliste"/>
        <w:numPr>
          <w:ilvl w:val="0"/>
          <w:numId w:val="2"/>
        </w:numPr>
        <w:spacing w:line="240" w:lineRule="auto"/>
        <w:jc w:val="both"/>
        <w:rPr>
          <w:rFonts w:ascii="Times New Roman" w:hAnsi="Times New Roman" w:cs="Times New Roman"/>
          <w:sz w:val="24"/>
          <w:szCs w:val="24"/>
        </w:rPr>
      </w:pPr>
      <w:r w:rsidRPr="000E3DB3">
        <w:rPr>
          <w:rFonts w:ascii="Times New Roman" w:hAnsi="Times New Roman" w:cs="Times New Roman"/>
          <w:sz w:val="24"/>
          <w:szCs w:val="24"/>
        </w:rPr>
        <w:t>une  faillite au niveau des infrastructures</w:t>
      </w:r>
    </w:p>
    <w:p w:rsidR="00415487" w:rsidRPr="000E3DB3" w:rsidRDefault="00415487" w:rsidP="000E3DB3">
      <w:pPr>
        <w:pStyle w:val="Paragraphedeliste"/>
        <w:numPr>
          <w:ilvl w:val="0"/>
          <w:numId w:val="2"/>
        </w:numPr>
        <w:spacing w:line="240" w:lineRule="auto"/>
        <w:jc w:val="both"/>
        <w:rPr>
          <w:rFonts w:ascii="Times New Roman" w:hAnsi="Times New Roman" w:cs="Times New Roman"/>
          <w:sz w:val="24"/>
          <w:szCs w:val="24"/>
        </w:rPr>
      </w:pPr>
      <w:r w:rsidRPr="000E3DB3">
        <w:rPr>
          <w:rFonts w:ascii="Times New Roman" w:hAnsi="Times New Roman" w:cs="Times New Roman"/>
          <w:sz w:val="24"/>
          <w:szCs w:val="24"/>
        </w:rPr>
        <w:t xml:space="preserve">une pénurie en équipements en matériels didactiques et en mobiliers scolaires, </w:t>
      </w:r>
    </w:p>
    <w:p w:rsidR="00415487" w:rsidRPr="000E3DB3" w:rsidRDefault="00415487" w:rsidP="000E3DB3">
      <w:pPr>
        <w:pStyle w:val="Paragraphedeliste"/>
        <w:numPr>
          <w:ilvl w:val="0"/>
          <w:numId w:val="2"/>
        </w:numPr>
        <w:spacing w:line="240" w:lineRule="auto"/>
        <w:jc w:val="both"/>
        <w:rPr>
          <w:rFonts w:ascii="Times New Roman" w:hAnsi="Times New Roman" w:cs="Times New Roman"/>
          <w:sz w:val="24"/>
          <w:szCs w:val="24"/>
        </w:rPr>
      </w:pPr>
      <w:r w:rsidRPr="000E3DB3">
        <w:rPr>
          <w:rFonts w:ascii="Times New Roman" w:hAnsi="Times New Roman" w:cs="Times New Roman"/>
          <w:sz w:val="24"/>
          <w:szCs w:val="24"/>
        </w:rPr>
        <w:t>une faible fréquentation des filles à l’école,</w:t>
      </w:r>
    </w:p>
    <w:p w:rsidR="00415487" w:rsidRPr="000E3DB3" w:rsidRDefault="00415487" w:rsidP="000E3DB3">
      <w:pPr>
        <w:pStyle w:val="Paragraphedeliste"/>
        <w:numPr>
          <w:ilvl w:val="0"/>
          <w:numId w:val="2"/>
        </w:numPr>
        <w:spacing w:line="240" w:lineRule="auto"/>
        <w:jc w:val="both"/>
        <w:rPr>
          <w:rFonts w:ascii="Times New Roman" w:hAnsi="Times New Roman" w:cs="Times New Roman"/>
          <w:sz w:val="24"/>
          <w:szCs w:val="24"/>
        </w:rPr>
      </w:pPr>
      <w:r w:rsidRPr="000E3DB3">
        <w:rPr>
          <w:rFonts w:ascii="Times New Roman" w:hAnsi="Times New Roman" w:cs="Times New Roman"/>
          <w:sz w:val="24"/>
          <w:szCs w:val="24"/>
        </w:rPr>
        <w:t>les enseignants pour une large majorité n’ont la qualification requise.</w:t>
      </w:r>
    </w:p>
    <w:p w:rsidR="00415487" w:rsidRPr="000E3DB3" w:rsidRDefault="0022150A" w:rsidP="000E3DB3">
      <w:pPr>
        <w:spacing w:before="240" w:after="0" w:line="240" w:lineRule="auto"/>
        <w:jc w:val="both"/>
        <w:rPr>
          <w:rFonts w:ascii="Times New Roman" w:hAnsi="Times New Roman" w:cs="Times New Roman"/>
          <w:sz w:val="24"/>
          <w:szCs w:val="24"/>
        </w:rPr>
      </w:pPr>
      <w:r w:rsidRPr="000E3DB3">
        <w:rPr>
          <w:rFonts w:ascii="Times New Roman" w:hAnsi="Times New Roman" w:cs="Times New Roman"/>
          <w:sz w:val="24"/>
          <w:szCs w:val="24"/>
        </w:rPr>
        <w:t xml:space="preserve">Dans </w:t>
      </w:r>
      <w:r w:rsidR="00CC7917" w:rsidRPr="000E3DB3">
        <w:rPr>
          <w:rFonts w:ascii="Times New Roman" w:hAnsi="Times New Roman" w:cs="Times New Roman"/>
          <w:sz w:val="24"/>
          <w:szCs w:val="24"/>
        </w:rPr>
        <w:t xml:space="preserve">notre démarche, nous sommes </w:t>
      </w:r>
      <w:proofErr w:type="gramStart"/>
      <w:r w:rsidR="00CC7917" w:rsidRPr="000E3DB3">
        <w:rPr>
          <w:rFonts w:ascii="Times New Roman" w:hAnsi="Times New Roman" w:cs="Times New Roman"/>
          <w:sz w:val="24"/>
          <w:szCs w:val="24"/>
        </w:rPr>
        <w:t>parti</w:t>
      </w:r>
      <w:proofErr w:type="gramEnd"/>
      <w:r w:rsidRPr="000E3DB3">
        <w:rPr>
          <w:rFonts w:ascii="Times New Roman" w:hAnsi="Times New Roman" w:cs="Times New Roman"/>
          <w:sz w:val="24"/>
          <w:szCs w:val="24"/>
        </w:rPr>
        <w:t xml:space="preserve"> d</w:t>
      </w:r>
      <w:r w:rsidR="005E6D9C" w:rsidRPr="000E3DB3">
        <w:rPr>
          <w:rFonts w:ascii="Times New Roman" w:hAnsi="Times New Roman" w:cs="Times New Roman"/>
          <w:sz w:val="24"/>
          <w:szCs w:val="24"/>
        </w:rPr>
        <w:t>’une</w:t>
      </w:r>
      <w:r w:rsidR="00415487" w:rsidRPr="000E3DB3">
        <w:rPr>
          <w:rFonts w:ascii="Times New Roman" w:hAnsi="Times New Roman" w:cs="Times New Roman"/>
          <w:sz w:val="24"/>
          <w:szCs w:val="24"/>
        </w:rPr>
        <w:t xml:space="preserve"> série d’investigations de terrain menée sur les violations des droits de l’homme liés à la sécurité à Tombouctou, Mopti et de l’accès transfrontalier aux services sociaux de base</w:t>
      </w:r>
      <w:r w:rsidR="005E6D9C" w:rsidRPr="000E3DB3">
        <w:rPr>
          <w:rFonts w:ascii="Times New Roman" w:hAnsi="Times New Roman" w:cs="Times New Roman"/>
          <w:sz w:val="24"/>
          <w:szCs w:val="24"/>
        </w:rPr>
        <w:t>. Les deux enquêtes</w:t>
      </w:r>
      <w:r w:rsidR="00415487" w:rsidRPr="000E3DB3">
        <w:rPr>
          <w:rFonts w:ascii="Times New Roman" w:hAnsi="Times New Roman" w:cs="Times New Roman"/>
          <w:sz w:val="24"/>
          <w:szCs w:val="24"/>
        </w:rPr>
        <w:t xml:space="preserve"> nous ont permis de pa</w:t>
      </w:r>
      <w:r w:rsidR="005E6D9C" w:rsidRPr="000E3DB3">
        <w:rPr>
          <w:rFonts w:ascii="Times New Roman" w:hAnsi="Times New Roman" w:cs="Times New Roman"/>
          <w:sz w:val="24"/>
          <w:szCs w:val="24"/>
        </w:rPr>
        <w:t>sser deux semaines au niveau de chaque terrain</w:t>
      </w:r>
      <w:r w:rsidR="00415487" w:rsidRPr="000E3DB3">
        <w:rPr>
          <w:rFonts w:ascii="Times New Roman" w:hAnsi="Times New Roman" w:cs="Times New Roman"/>
          <w:sz w:val="24"/>
          <w:szCs w:val="24"/>
        </w:rPr>
        <w:t>. La première enquête a été commanditée par ARGA</w:t>
      </w:r>
      <w:r w:rsidR="00415487" w:rsidRPr="000E3DB3">
        <w:rPr>
          <w:rStyle w:val="Appelnotedebasdep"/>
          <w:rFonts w:ascii="Times New Roman" w:hAnsi="Times New Roman" w:cs="Times New Roman"/>
          <w:sz w:val="24"/>
          <w:szCs w:val="24"/>
        </w:rPr>
        <w:footnoteReference w:id="2"/>
      </w:r>
      <w:r w:rsidR="00415487" w:rsidRPr="000E3DB3">
        <w:rPr>
          <w:rFonts w:ascii="Times New Roman" w:hAnsi="Times New Roman" w:cs="Times New Roman"/>
          <w:sz w:val="24"/>
          <w:szCs w:val="24"/>
        </w:rPr>
        <w:t>- Mali et la deuxième par ANDAL</w:t>
      </w:r>
      <w:r w:rsidR="00415487" w:rsidRPr="000E3DB3">
        <w:rPr>
          <w:rStyle w:val="Appelnotedebasdep"/>
          <w:rFonts w:ascii="Times New Roman" w:hAnsi="Times New Roman" w:cs="Times New Roman"/>
          <w:sz w:val="24"/>
          <w:szCs w:val="24"/>
        </w:rPr>
        <w:footnoteReference w:id="3"/>
      </w:r>
      <w:r w:rsidR="00415487" w:rsidRPr="000E3DB3">
        <w:rPr>
          <w:rFonts w:ascii="Times New Roman" w:hAnsi="Times New Roman" w:cs="Times New Roman"/>
          <w:sz w:val="24"/>
          <w:szCs w:val="24"/>
        </w:rPr>
        <w:t xml:space="preserve">  Mali sur l’accès transfrontalier à l’éducation entre le Mali, le Niger, le Burkina Faso.</w:t>
      </w:r>
    </w:p>
    <w:p w:rsidR="00415487" w:rsidRPr="000E3DB3" w:rsidRDefault="005E6D9C" w:rsidP="000E3DB3">
      <w:pPr>
        <w:tabs>
          <w:tab w:val="left" w:pos="709"/>
          <w:tab w:val="left" w:pos="990"/>
        </w:tabs>
        <w:spacing w:line="240" w:lineRule="auto"/>
        <w:jc w:val="both"/>
        <w:rPr>
          <w:rFonts w:ascii="Times New Roman" w:hAnsi="Times New Roman" w:cs="Times New Roman"/>
          <w:sz w:val="24"/>
          <w:szCs w:val="24"/>
        </w:rPr>
      </w:pPr>
      <w:r w:rsidRPr="000E3DB3">
        <w:rPr>
          <w:rFonts w:ascii="Times New Roman" w:hAnsi="Times New Roman" w:cs="Times New Roman"/>
          <w:sz w:val="24"/>
          <w:szCs w:val="24"/>
        </w:rPr>
        <w:t xml:space="preserve">Le présent travail a été possible </w:t>
      </w:r>
      <w:r w:rsidR="00813920" w:rsidRPr="000E3DB3">
        <w:rPr>
          <w:rFonts w:ascii="Times New Roman" w:hAnsi="Times New Roman" w:cs="Times New Roman"/>
          <w:sz w:val="24"/>
          <w:szCs w:val="24"/>
        </w:rPr>
        <w:t>grâce à nos échanges avec</w:t>
      </w:r>
      <w:r w:rsidR="00415487" w:rsidRPr="000E3DB3">
        <w:rPr>
          <w:rFonts w:ascii="Times New Roman" w:hAnsi="Times New Roman" w:cs="Times New Roman"/>
          <w:sz w:val="24"/>
          <w:szCs w:val="24"/>
        </w:rPr>
        <w:t xml:space="preserve"> vingt acteurs de l’école dans chaque commune et essentiellement au niveau de deux écoles publiques fondamentales : celle de </w:t>
      </w:r>
      <w:proofErr w:type="spellStart"/>
      <w:r w:rsidR="00415487" w:rsidRPr="000E3DB3">
        <w:rPr>
          <w:rFonts w:ascii="Times New Roman" w:hAnsi="Times New Roman" w:cs="Times New Roman"/>
          <w:sz w:val="24"/>
          <w:szCs w:val="24"/>
        </w:rPr>
        <w:t>Tessit</w:t>
      </w:r>
      <w:proofErr w:type="spellEnd"/>
      <w:r w:rsidR="00415487" w:rsidRPr="000E3DB3">
        <w:rPr>
          <w:rFonts w:ascii="Times New Roman" w:hAnsi="Times New Roman" w:cs="Times New Roman"/>
          <w:sz w:val="24"/>
          <w:szCs w:val="24"/>
        </w:rPr>
        <w:t xml:space="preserve"> et l’école </w:t>
      </w:r>
      <w:proofErr w:type="spellStart"/>
      <w:r w:rsidR="00415487" w:rsidRPr="000E3DB3">
        <w:rPr>
          <w:rFonts w:ascii="Times New Roman" w:hAnsi="Times New Roman" w:cs="Times New Roman"/>
          <w:sz w:val="24"/>
          <w:szCs w:val="24"/>
        </w:rPr>
        <w:t>Bahadou</w:t>
      </w:r>
      <w:proofErr w:type="spellEnd"/>
      <w:r w:rsidR="00415487" w:rsidRPr="000E3DB3">
        <w:rPr>
          <w:rFonts w:ascii="Times New Roman" w:hAnsi="Times New Roman" w:cs="Times New Roman"/>
          <w:sz w:val="24"/>
          <w:szCs w:val="24"/>
        </w:rPr>
        <w:t xml:space="preserve"> de la ville de Tombouctou. </w:t>
      </w:r>
      <w:r w:rsidRPr="000E3DB3">
        <w:rPr>
          <w:rFonts w:ascii="Times New Roman" w:hAnsi="Times New Roman" w:cs="Times New Roman"/>
          <w:sz w:val="24"/>
          <w:szCs w:val="24"/>
        </w:rPr>
        <w:t>La collecte des informations a été faite</w:t>
      </w:r>
      <w:r w:rsidR="00415487" w:rsidRPr="000E3DB3">
        <w:rPr>
          <w:rFonts w:ascii="Times New Roman" w:hAnsi="Times New Roman" w:cs="Times New Roman"/>
          <w:sz w:val="24"/>
          <w:szCs w:val="24"/>
        </w:rPr>
        <w:t xml:space="preserve"> grâce à l’approche qualitative. Elle s’est appuyée essentiellement sur l’utilisation d’outils et approches de collecte comme les fiches d’expériences, les entretiens individuels et des focus group.</w:t>
      </w:r>
    </w:p>
    <w:p w:rsidR="00286DDB" w:rsidRPr="000E3DB3" w:rsidRDefault="00415487" w:rsidP="000E3DB3">
      <w:pPr>
        <w:autoSpaceDE w:val="0"/>
        <w:autoSpaceDN w:val="0"/>
        <w:adjustRightInd w:val="0"/>
        <w:spacing w:after="0" w:line="240" w:lineRule="auto"/>
        <w:jc w:val="both"/>
        <w:rPr>
          <w:rFonts w:ascii="Times New Roman" w:hAnsi="Times New Roman" w:cs="Times New Roman"/>
          <w:sz w:val="24"/>
          <w:szCs w:val="24"/>
        </w:rPr>
      </w:pPr>
      <w:r w:rsidRPr="000E3DB3">
        <w:rPr>
          <w:rFonts w:ascii="Times New Roman" w:hAnsi="Times New Roman" w:cs="Times New Roman"/>
          <w:sz w:val="24"/>
          <w:szCs w:val="24"/>
        </w:rPr>
        <w:t>Ainsi, notre optique de démarche s’inscrit bien dans une logique de domestication du sous-jacent. En effet parti en déplacement pour collecter des informations sur des questions consacrées à d’autres domaines, nous profitions des longs séjours accordés pour explorer la thématique de la décentralisation de l’éducation. Dans ce schéma, nous part</w:t>
      </w:r>
      <w:r w:rsidR="00813920" w:rsidRPr="000E3DB3">
        <w:rPr>
          <w:rFonts w:ascii="Times New Roman" w:hAnsi="Times New Roman" w:cs="Times New Roman"/>
          <w:sz w:val="24"/>
          <w:szCs w:val="24"/>
        </w:rPr>
        <w:t>ions donc</w:t>
      </w:r>
      <w:r w:rsidRPr="000E3DB3">
        <w:rPr>
          <w:rFonts w:ascii="Times New Roman" w:hAnsi="Times New Roman" w:cs="Times New Roman"/>
          <w:sz w:val="24"/>
          <w:szCs w:val="24"/>
        </w:rPr>
        <w:t xml:space="preserve"> d’un processus d’imprégnation vers une saisine du sous-jacent.</w:t>
      </w:r>
    </w:p>
    <w:p w:rsidR="00311AE7" w:rsidRPr="000E3DB3" w:rsidRDefault="00286DDB" w:rsidP="000E3DB3">
      <w:pPr>
        <w:autoSpaceDE w:val="0"/>
        <w:autoSpaceDN w:val="0"/>
        <w:adjustRightInd w:val="0"/>
        <w:spacing w:after="0" w:line="240" w:lineRule="auto"/>
        <w:jc w:val="both"/>
        <w:rPr>
          <w:rFonts w:ascii="Times New Roman" w:hAnsi="Times New Roman" w:cs="Times New Roman"/>
          <w:sz w:val="24"/>
          <w:szCs w:val="24"/>
        </w:rPr>
      </w:pPr>
      <w:r w:rsidRPr="000E3DB3">
        <w:rPr>
          <w:rFonts w:ascii="Times New Roman" w:hAnsi="Times New Roman" w:cs="Times New Roman"/>
          <w:sz w:val="24"/>
          <w:szCs w:val="24"/>
        </w:rPr>
        <w:t>Notre  plan de communication s’articulera autour des points suivants :</w:t>
      </w:r>
      <w:r w:rsidR="00415487" w:rsidRPr="000E3DB3">
        <w:rPr>
          <w:rFonts w:ascii="Times New Roman" w:hAnsi="Times New Roman" w:cs="Times New Roman"/>
          <w:sz w:val="24"/>
          <w:szCs w:val="24"/>
        </w:rPr>
        <w:t xml:space="preserve"> </w:t>
      </w:r>
    </w:p>
    <w:p w:rsidR="000A06B0" w:rsidRPr="000E3DB3" w:rsidRDefault="000A06B0" w:rsidP="000E3DB3">
      <w:pPr>
        <w:pStyle w:val="Paragraphedeliste"/>
        <w:numPr>
          <w:ilvl w:val="0"/>
          <w:numId w:val="2"/>
        </w:numPr>
        <w:spacing w:line="240" w:lineRule="auto"/>
        <w:jc w:val="both"/>
        <w:rPr>
          <w:rFonts w:ascii="Times New Roman" w:hAnsi="Times New Roman" w:cs="Times New Roman"/>
          <w:sz w:val="24"/>
          <w:szCs w:val="24"/>
        </w:rPr>
      </w:pPr>
      <w:r w:rsidRPr="000E3DB3">
        <w:rPr>
          <w:rFonts w:ascii="Times New Roman" w:hAnsi="Times New Roman" w:cs="Times New Roman"/>
          <w:sz w:val="24"/>
          <w:szCs w:val="24"/>
        </w:rPr>
        <w:t>La méthodologie de recherche : Réaliser une étude synchronique dans deux zones frappées par la crise à travers un processus d’imprégnation</w:t>
      </w:r>
    </w:p>
    <w:p w:rsidR="00813920" w:rsidRPr="000E3DB3" w:rsidRDefault="00813920" w:rsidP="000E3DB3">
      <w:pPr>
        <w:pStyle w:val="Paragraphedeliste"/>
        <w:numPr>
          <w:ilvl w:val="0"/>
          <w:numId w:val="2"/>
        </w:numPr>
        <w:spacing w:line="240" w:lineRule="auto"/>
        <w:jc w:val="both"/>
        <w:rPr>
          <w:rFonts w:ascii="Times New Roman" w:hAnsi="Times New Roman" w:cs="Times New Roman"/>
          <w:sz w:val="24"/>
          <w:szCs w:val="24"/>
        </w:rPr>
      </w:pPr>
      <w:r w:rsidRPr="000E3DB3">
        <w:rPr>
          <w:rFonts w:ascii="Times New Roman" w:hAnsi="Times New Roman" w:cs="Times New Roman"/>
          <w:sz w:val="24"/>
          <w:szCs w:val="24"/>
        </w:rPr>
        <w:t xml:space="preserve">Une brève </w:t>
      </w:r>
      <w:r w:rsidR="000E3DB3" w:rsidRPr="000E3DB3">
        <w:rPr>
          <w:rFonts w:ascii="Times New Roman" w:hAnsi="Times New Roman" w:cs="Times New Roman"/>
          <w:sz w:val="24"/>
          <w:szCs w:val="24"/>
        </w:rPr>
        <w:t xml:space="preserve">présentation des milieux </w:t>
      </w:r>
    </w:p>
    <w:p w:rsidR="007E5994" w:rsidRPr="000E3DB3" w:rsidRDefault="007E5994" w:rsidP="000E3DB3">
      <w:pPr>
        <w:pStyle w:val="Paragraphedeliste"/>
        <w:numPr>
          <w:ilvl w:val="0"/>
          <w:numId w:val="2"/>
        </w:numPr>
        <w:spacing w:line="240" w:lineRule="auto"/>
        <w:jc w:val="both"/>
        <w:rPr>
          <w:rFonts w:ascii="Times New Roman" w:hAnsi="Times New Roman" w:cs="Times New Roman"/>
          <w:sz w:val="24"/>
          <w:szCs w:val="24"/>
        </w:rPr>
      </w:pPr>
      <w:r w:rsidRPr="000E3DB3">
        <w:rPr>
          <w:rFonts w:ascii="Times New Roman" w:hAnsi="Times New Roman" w:cs="Times New Roman"/>
          <w:sz w:val="24"/>
          <w:szCs w:val="24"/>
        </w:rPr>
        <w:t xml:space="preserve">L’école : entre imposition et résistance </w:t>
      </w:r>
    </w:p>
    <w:p w:rsidR="007E5994" w:rsidRPr="000E3DB3" w:rsidRDefault="007E5994" w:rsidP="000E3DB3">
      <w:pPr>
        <w:pStyle w:val="Paragraphedeliste"/>
        <w:numPr>
          <w:ilvl w:val="0"/>
          <w:numId w:val="2"/>
        </w:numPr>
        <w:spacing w:line="240" w:lineRule="auto"/>
        <w:rPr>
          <w:rFonts w:ascii="Times New Roman" w:hAnsi="Times New Roman" w:cs="Times New Roman"/>
          <w:sz w:val="24"/>
          <w:szCs w:val="24"/>
        </w:rPr>
      </w:pPr>
      <w:r w:rsidRPr="000E3DB3">
        <w:rPr>
          <w:rFonts w:ascii="Times New Roman" w:hAnsi="Times New Roman" w:cs="Times New Roman"/>
          <w:sz w:val="24"/>
          <w:szCs w:val="24"/>
        </w:rPr>
        <w:t>Une gestion de l’école hors des limites territoriales</w:t>
      </w:r>
      <w:r w:rsidR="000A06B0" w:rsidRPr="000E3DB3">
        <w:rPr>
          <w:rFonts w:ascii="Times New Roman" w:hAnsi="Times New Roman" w:cs="Times New Roman"/>
          <w:sz w:val="24"/>
          <w:szCs w:val="24"/>
        </w:rPr>
        <w:t> </w:t>
      </w:r>
    </w:p>
    <w:p w:rsidR="007E5994" w:rsidRDefault="007E5994" w:rsidP="000E3DB3">
      <w:pPr>
        <w:pStyle w:val="Paragraphedeliste"/>
        <w:numPr>
          <w:ilvl w:val="0"/>
          <w:numId w:val="2"/>
        </w:numPr>
        <w:spacing w:line="240" w:lineRule="auto"/>
        <w:rPr>
          <w:rFonts w:ascii="Times New Roman" w:hAnsi="Times New Roman" w:cs="Times New Roman"/>
          <w:sz w:val="24"/>
          <w:szCs w:val="24"/>
        </w:rPr>
      </w:pPr>
      <w:r w:rsidRPr="000E3DB3">
        <w:rPr>
          <w:rFonts w:ascii="Times New Roman" w:hAnsi="Times New Roman" w:cs="Times New Roman"/>
          <w:sz w:val="24"/>
          <w:szCs w:val="24"/>
        </w:rPr>
        <w:t>Une gestion difficile des séquelles</w:t>
      </w:r>
    </w:p>
    <w:p w:rsidR="00582A43" w:rsidRPr="00582A43" w:rsidRDefault="00582A43" w:rsidP="00582A43">
      <w:pPr>
        <w:spacing w:line="240" w:lineRule="auto"/>
        <w:rPr>
          <w:rFonts w:ascii="Times New Roman" w:hAnsi="Times New Roman" w:cs="Times New Roman"/>
          <w:sz w:val="24"/>
          <w:szCs w:val="24"/>
        </w:rPr>
      </w:pPr>
      <w:r>
        <w:rPr>
          <w:rFonts w:ascii="Times New Roman" w:hAnsi="Times New Roman" w:cs="Times New Roman"/>
          <w:sz w:val="24"/>
          <w:szCs w:val="24"/>
        </w:rPr>
        <w:t xml:space="preserve">Mots clés : école, décentralisation, école sous occupation, </w:t>
      </w:r>
      <w:proofErr w:type="spellStart"/>
      <w:r>
        <w:rPr>
          <w:rFonts w:ascii="Times New Roman" w:hAnsi="Times New Roman" w:cs="Times New Roman"/>
          <w:sz w:val="24"/>
          <w:szCs w:val="24"/>
        </w:rPr>
        <w:t>jihadiste</w:t>
      </w:r>
      <w:proofErr w:type="spellEnd"/>
      <w:r>
        <w:rPr>
          <w:rFonts w:ascii="Times New Roman" w:hAnsi="Times New Roman" w:cs="Times New Roman"/>
          <w:sz w:val="24"/>
          <w:szCs w:val="24"/>
        </w:rPr>
        <w:t>, examens, enseignant unique.</w:t>
      </w:r>
    </w:p>
    <w:p w:rsidR="00A0488C" w:rsidRDefault="00A0488C" w:rsidP="000E3DB3">
      <w:pPr>
        <w:spacing w:line="240" w:lineRule="auto"/>
        <w:jc w:val="both"/>
        <w:rPr>
          <w:rFonts w:ascii="Times New Roman" w:hAnsi="Times New Roman" w:cs="Times New Roman"/>
          <w:sz w:val="26"/>
          <w:szCs w:val="26"/>
        </w:rPr>
      </w:pPr>
    </w:p>
    <w:p w:rsidR="000E3DB3" w:rsidRDefault="000E3DB3" w:rsidP="000E3DB3">
      <w:pPr>
        <w:spacing w:line="240" w:lineRule="auto"/>
        <w:jc w:val="both"/>
        <w:rPr>
          <w:rFonts w:ascii="Times New Roman" w:hAnsi="Times New Roman" w:cs="Times New Roman"/>
          <w:sz w:val="26"/>
          <w:szCs w:val="26"/>
        </w:rPr>
      </w:pPr>
    </w:p>
    <w:p w:rsidR="000E3DB3" w:rsidRPr="000E3DB3" w:rsidRDefault="000E3DB3" w:rsidP="000E3DB3">
      <w:pPr>
        <w:spacing w:line="240" w:lineRule="auto"/>
        <w:jc w:val="both"/>
        <w:rPr>
          <w:rFonts w:ascii="Times New Roman" w:hAnsi="Times New Roman" w:cs="Times New Roman"/>
          <w:sz w:val="26"/>
          <w:szCs w:val="26"/>
        </w:rPr>
      </w:pPr>
    </w:p>
    <w:p w:rsidR="00A0488C" w:rsidRDefault="00A0488C" w:rsidP="00A0488C">
      <w:pPr>
        <w:jc w:val="both"/>
        <w:rPr>
          <w:rFonts w:ascii="Times New Roman" w:hAnsi="Times New Roman" w:cs="Times New Roman"/>
          <w:sz w:val="26"/>
          <w:szCs w:val="26"/>
        </w:rPr>
      </w:pPr>
    </w:p>
    <w:p w:rsidR="000E3DB3" w:rsidRDefault="000E3DB3" w:rsidP="00A0488C">
      <w:pPr>
        <w:jc w:val="both"/>
        <w:rPr>
          <w:rFonts w:ascii="Times New Roman" w:hAnsi="Times New Roman" w:cs="Times New Roman"/>
          <w:sz w:val="26"/>
          <w:szCs w:val="26"/>
        </w:rPr>
      </w:pPr>
      <w:bookmarkStart w:id="0" w:name="_GoBack"/>
      <w:bookmarkEnd w:id="0"/>
    </w:p>
    <w:sectPr w:rsidR="000E3D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724" w:rsidRDefault="00142724" w:rsidP="00415487">
      <w:pPr>
        <w:spacing w:after="0" w:line="240" w:lineRule="auto"/>
      </w:pPr>
      <w:r>
        <w:separator/>
      </w:r>
    </w:p>
  </w:endnote>
  <w:endnote w:type="continuationSeparator" w:id="0">
    <w:p w:rsidR="00142724" w:rsidRDefault="00142724" w:rsidP="0041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724" w:rsidRDefault="00142724" w:rsidP="00415487">
      <w:pPr>
        <w:spacing w:after="0" w:line="240" w:lineRule="auto"/>
      </w:pPr>
      <w:r>
        <w:separator/>
      </w:r>
    </w:p>
  </w:footnote>
  <w:footnote w:type="continuationSeparator" w:id="0">
    <w:p w:rsidR="00142724" w:rsidRDefault="00142724" w:rsidP="00415487">
      <w:pPr>
        <w:spacing w:after="0" w:line="240" w:lineRule="auto"/>
      </w:pPr>
      <w:r>
        <w:continuationSeparator/>
      </w:r>
    </w:p>
  </w:footnote>
  <w:footnote w:id="1">
    <w:p w:rsidR="00C65B05" w:rsidRPr="000E3DB3" w:rsidRDefault="00C65B05">
      <w:pPr>
        <w:pStyle w:val="Notedebasdepage"/>
        <w:rPr>
          <w:rFonts w:ascii="Times New Roman" w:hAnsi="Times New Roman" w:cs="Times New Roman"/>
        </w:rPr>
      </w:pPr>
      <w:r w:rsidRPr="000E3DB3">
        <w:rPr>
          <w:rStyle w:val="Appelnotedebasdep"/>
          <w:rFonts w:ascii="Times New Roman" w:hAnsi="Times New Roman" w:cs="Times New Roman"/>
        </w:rPr>
        <w:footnoteRef/>
      </w:r>
      <w:r w:rsidRPr="000E3DB3">
        <w:rPr>
          <w:rFonts w:ascii="Times New Roman" w:hAnsi="Times New Roman" w:cs="Times New Roman"/>
        </w:rPr>
        <w:t xml:space="preserve"> - Au Mali, le second cycle correspond au collège.</w:t>
      </w:r>
    </w:p>
  </w:footnote>
  <w:footnote w:id="2">
    <w:p w:rsidR="00415487" w:rsidRPr="00983191" w:rsidRDefault="00415487" w:rsidP="00415487">
      <w:pPr>
        <w:pStyle w:val="Notedebasdepage"/>
        <w:rPr>
          <w:rFonts w:ascii="Times New Roman" w:hAnsi="Times New Roman" w:cs="Times New Roman"/>
        </w:rPr>
      </w:pPr>
      <w:r>
        <w:rPr>
          <w:rStyle w:val="Appelnotedebasdep"/>
        </w:rPr>
        <w:footnoteRef/>
      </w:r>
      <w:r>
        <w:t xml:space="preserve"> - </w:t>
      </w:r>
      <w:r w:rsidRPr="00983191">
        <w:rPr>
          <w:rFonts w:ascii="Times New Roman" w:hAnsi="Times New Roman" w:cs="Times New Roman"/>
        </w:rPr>
        <w:t>Alliance pour Refonder Gouvernance en Afrique.</w:t>
      </w:r>
    </w:p>
  </w:footnote>
  <w:footnote w:id="3">
    <w:p w:rsidR="00415487" w:rsidRPr="00983191" w:rsidRDefault="00415487" w:rsidP="00415487">
      <w:pPr>
        <w:pStyle w:val="Notedebasdepage"/>
        <w:rPr>
          <w:rFonts w:ascii="Times New Roman" w:hAnsi="Times New Roman" w:cs="Times New Roman"/>
        </w:rPr>
      </w:pPr>
      <w:r w:rsidRPr="00983191">
        <w:rPr>
          <w:rStyle w:val="Appelnotedebasdep"/>
          <w:rFonts w:ascii="Times New Roman" w:hAnsi="Times New Roman" w:cs="Times New Roman"/>
        </w:rPr>
        <w:footnoteRef/>
      </w:r>
      <w:r w:rsidRPr="00983191">
        <w:rPr>
          <w:rFonts w:ascii="Times New Roman" w:hAnsi="Times New Roman" w:cs="Times New Roman"/>
        </w:rPr>
        <w:t xml:space="preserve"> - C’est un laboratoire de recherche. L’expression signifie la connaissance dans la langue peulh.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9202D"/>
    <w:multiLevelType w:val="singleLevel"/>
    <w:tmpl w:val="34B08E00"/>
    <w:lvl w:ilvl="0">
      <w:numFmt w:val="bullet"/>
      <w:lvlText w:val="-"/>
      <w:lvlJc w:val="left"/>
      <w:pPr>
        <w:tabs>
          <w:tab w:val="num" w:pos="360"/>
        </w:tabs>
        <w:ind w:left="360" w:hanging="360"/>
      </w:pPr>
    </w:lvl>
  </w:abstractNum>
  <w:abstractNum w:abstractNumId="1">
    <w:nsid w:val="1D381DC0"/>
    <w:multiLevelType w:val="multilevel"/>
    <w:tmpl w:val="1254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D38CE"/>
    <w:multiLevelType w:val="hybridMultilevel"/>
    <w:tmpl w:val="6C149B0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317E61CA"/>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4">
    <w:nsid w:val="3D8C6F1A"/>
    <w:multiLevelType w:val="hybridMultilevel"/>
    <w:tmpl w:val="2EAAA69C"/>
    <w:lvl w:ilvl="0" w:tplc="BBA0A152">
      <w:numFmt w:val="bullet"/>
      <w:lvlText w:val="-"/>
      <w:lvlJc w:val="left"/>
      <w:pPr>
        <w:ind w:left="1068" w:hanging="360"/>
      </w:pPr>
      <w:rPr>
        <w:rFonts w:ascii="Times New Roman" w:eastAsia="Calibr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3EA4569D"/>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6">
    <w:nsid w:val="4D1A1C68"/>
    <w:multiLevelType w:val="hybridMultilevel"/>
    <w:tmpl w:val="C26677D8"/>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59375C98"/>
    <w:multiLevelType w:val="hybridMultilevel"/>
    <w:tmpl w:val="23E8DE1A"/>
    <w:lvl w:ilvl="0" w:tplc="CF06ABF4">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7EE273F8"/>
    <w:multiLevelType w:val="singleLevel"/>
    <w:tmpl w:val="040C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B9"/>
    <w:rsid w:val="00065C99"/>
    <w:rsid w:val="00082A9D"/>
    <w:rsid w:val="000A06B0"/>
    <w:rsid w:val="000C797B"/>
    <w:rsid w:val="000E3DB3"/>
    <w:rsid w:val="00100A69"/>
    <w:rsid w:val="00142724"/>
    <w:rsid w:val="0022150A"/>
    <w:rsid w:val="00286DDB"/>
    <w:rsid w:val="002E574A"/>
    <w:rsid w:val="00311AE7"/>
    <w:rsid w:val="00391DC0"/>
    <w:rsid w:val="00415487"/>
    <w:rsid w:val="00421A68"/>
    <w:rsid w:val="004E20B3"/>
    <w:rsid w:val="00513F77"/>
    <w:rsid w:val="005424D9"/>
    <w:rsid w:val="00582A43"/>
    <w:rsid w:val="00586EC3"/>
    <w:rsid w:val="005E6D9C"/>
    <w:rsid w:val="006450B9"/>
    <w:rsid w:val="006F57E5"/>
    <w:rsid w:val="00791D28"/>
    <w:rsid w:val="007E5994"/>
    <w:rsid w:val="00800031"/>
    <w:rsid w:val="00812FE8"/>
    <w:rsid w:val="00813920"/>
    <w:rsid w:val="008426ED"/>
    <w:rsid w:val="00A0488C"/>
    <w:rsid w:val="00A40B7B"/>
    <w:rsid w:val="00AF789C"/>
    <w:rsid w:val="00B840BC"/>
    <w:rsid w:val="00C65B05"/>
    <w:rsid w:val="00C77D29"/>
    <w:rsid w:val="00CC4270"/>
    <w:rsid w:val="00CC7917"/>
    <w:rsid w:val="00E30001"/>
    <w:rsid w:val="00F40342"/>
    <w:rsid w:val="00F94F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4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415487"/>
    <w:pPr>
      <w:ind w:left="720"/>
      <w:contextualSpacing/>
    </w:pPr>
  </w:style>
  <w:style w:type="paragraph" w:styleId="Notedebasdepage">
    <w:name w:val="footnote text"/>
    <w:basedOn w:val="Normal"/>
    <w:link w:val="NotedebasdepageCar"/>
    <w:unhideWhenUsed/>
    <w:rsid w:val="00415487"/>
    <w:pPr>
      <w:spacing w:after="0" w:line="240" w:lineRule="auto"/>
    </w:pPr>
    <w:rPr>
      <w:sz w:val="20"/>
      <w:szCs w:val="20"/>
    </w:rPr>
  </w:style>
  <w:style w:type="character" w:customStyle="1" w:styleId="NotedebasdepageCar">
    <w:name w:val="Note de bas de page Car"/>
    <w:basedOn w:val="Policepardfaut"/>
    <w:link w:val="Notedebasdepage"/>
    <w:rsid w:val="00415487"/>
    <w:rPr>
      <w:sz w:val="20"/>
      <w:szCs w:val="20"/>
    </w:rPr>
  </w:style>
  <w:style w:type="character" w:styleId="Appelnotedebasdep">
    <w:name w:val="footnote reference"/>
    <w:basedOn w:val="Policepardfaut"/>
    <w:unhideWhenUsed/>
    <w:rsid w:val="00415487"/>
    <w:rPr>
      <w:vertAlign w:val="superscript"/>
    </w:rPr>
  </w:style>
  <w:style w:type="paragraph" w:styleId="Corpsdetexte">
    <w:name w:val="Body Text"/>
    <w:basedOn w:val="Normal"/>
    <w:link w:val="CorpsdetexteCar"/>
    <w:rsid w:val="00CC4270"/>
    <w:pPr>
      <w:spacing w:after="0" w:line="240" w:lineRule="auto"/>
    </w:pPr>
    <w:rPr>
      <w:rFonts w:ascii="Times New Roman" w:eastAsia="Times New Roman" w:hAnsi="Times New Roman" w:cs="Times New Roman"/>
      <w:sz w:val="28"/>
      <w:szCs w:val="28"/>
      <w:lang w:eastAsia="fr-FR"/>
    </w:rPr>
  </w:style>
  <w:style w:type="character" w:customStyle="1" w:styleId="CorpsdetexteCar">
    <w:name w:val="Corps de texte Car"/>
    <w:basedOn w:val="Policepardfaut"/>
    <w:link w:val="Corpsdetexte"/>
    <w:rsid w:val="00CC4270"/>
    <w:rPr>
      <w:rFonts w:ascii="Times New Roman" w:eastAsia="Times New Roman" w:hAnsi="Times New Roman" w:cs="Times New Roman"/>
      <w:sz w:val="28"/>
      <w:szCs w:val="2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4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415487"/>
    <w:pPr>
      <w:ind w:left="720"/>
      <w:contextualSpacing/>
    </w:pPr>
  </w:style>
  <w:style w:type="paragraph" w:styleId="Notedebasdepage">
    <w:name w:val="footnote text"/>
    <w:basedOn w:val="Normal"/>
    <w:link w:val="NotedebasdepageCar"/>
    <w:unhideWhenUsed/>
    <w:rsid w:val="00415487"/>
    <w:pPr>
      <w:spacing w:after="0" w:line="240" w:lineRule="auto"/>
    </w:pPr>
    <w:rPr>
      <w:sz w:val="20"/>
      <w:szCs w:val="20"/>
    </w:rPr>
  </w:style>
  <w:style w:type="character" w:customStyle="1" w:styleId="NotedebasdepageCar">
    <w:name w:val="Note de bas de page Car"/>
    <w:basedOn w:val="Policepardfaut"/>
    <w:link w:val="Notedebasdepage"/>
    <w:rsid w:val="00415487"/>
    <w:rPr>
      <w:sz w:val="20"/>
      <w:szCs w:val="20"/>
    </w:rPr>
  </w:style>
  <w:style w:type="character" w:styleId="Appelnotedebasdep">
    <w:name w:val="footnote reference"/>
    <w:basedOn w:val="Policepardfaut"/>
    <w:unhideWhenUsed/>
    <w:rsid w:val="00415487"/>
    <w:rPr>
      <w:vertAlign w:val="superscript"/>
    </w:rPr>
  </w:style>
  <w:style w:type="paragraph" w:styleId="Corpsdetexte">
    <w:name w:val="Body Text"/>
    <w:basedOn w:val="Normal"/>
    <w:link w:val="CorpsdetexteCar"/>
    <w:rsid w:val="00CC4270"/>
    <w:pPr>
      <w:spacing w:after="0" w:line="240" w:lineRule="auto"/>
    </w:pPr>
    <w:rPr>
      <w:rFonts w:ascii="Times New Roman" w:eastAsia="Times New Roman" w:hAnsi="Times New Roman" w:cs="Times New Roman"/>
      <w:sz w:val="28"/>
      <w:szCs w:val="28"/>
      <w:lang w:eastAsia="fr-FR"/>
    </w:rPr>
  </w:style>
  <w:style w:type="character" w:customStyle="1" w:styleId="CorpsdetexteCar">
    <w:name w:val="Corps de texte Car"/>
    <w:basedOn w:val="Policepardfaut"/>
    <w:link w:val="Corpsdetexte"/>
    <w:rsid w:val="00CC4270"/>
    <w:rPr>
      <w:rFonts w:ascii="Times New Roman" w:eastAsia="Times New Roman" w:hAnsi="Times New Roman" w:cs="Times New Roman"/>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C775C-81E6-4001-A941-AD88B211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934</Words>
  <Characters>5140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 S TRAORE</dc:creator>
  <cp:lastModifiedBy>Dr I S TRAORE</cp:lastModifiedBy>
  <cp:revision>7</cp:revision>
  <dcterms:created xsi:type="dcterms:W3CDTF">2016-03-28T07:55:00Z</dcterms:created>
  <dcterms:modified xsi:type="dcterms:W3CDTF">2016-03-29T18:45:00Z</dcterms:modified>
</cp:coreProperties>
</file>